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4C71C">
      <w:pPr>
        <w:spacing w:line="560" w:lineRule="exact"/>
        <w:jc w:val="center"/>
        <w:rPr>
          <w:rFonts w:hint="eastAsia" w:ascii="方正小标宋_GBK" w:hAnsi="方正小标宋_GBK" w:eastAsia="方正小标宋_GBK" w:cs="方正小标宋_GBK"/>
          <w:b w:val="0"/>
          <w:bCs/>
          <w:color w:val="000000"/>
          <w:sz w:val="44"/>
          <w:szCs w:val="44"/>
          <w:lang w:val="en-US" w:eastAsia="zh-CN"/>
        </w:rPr>
      </w:pPr>
      <w:r>
        <w:rPr>
          <w:rFonts w:hint="eastAsia" w:ascii="方正小标宋_GBK" w:hAnsi="方正小标宋_GBK" w:eastAsia="方正小标宋_GBK" w:cs="方正小标宋_GBK"/>
          <w:b w:val="0"/>
          <w:bCs/>
          <w:color w:val="000000"/>
          <w:sz w:val="44"/>
          <w:szCs w:val="44"/>
          <w:lang w:val="en-US" w:eastAsia="zh-CN"/>
        </w:rPr>
        <w:t>轮台县2024年中央财政农业社会化服务</w:t>
      </w:r>
    </w:p>
    <w:p w14:paraId="100F53D3">
      <w:pPr>
        <w:spacing w:line="560" w:lineRule="exact"/>
        <w:jc w:val="center"/>
        <w:rPr>
          <w:rFonts w:hint="eastAsia" w:ascii="方正小标宋_GBK" w:hAnsi="方正小标宋_GBK" w:eastAsia="方正小标宋_GBK" w:cs="方正小标宋_GBK"/>
          <w:b w:val="0"/>
          <w:bCs/>
          <w:color w:val="000000"/>
          <w:sz w:val="44"/>
          <w:szCs w:val="44"/>
        </w:rPr>
      </w:pPr>
      <w:r>
        <w:rPr>
          <w:rFonts w:hint="eastAsia" w:ascii="方正小标宋_GBK" w:hAnsi="方正小标宋_GBK" w:eastAsia="方正小标宋_GBK" w:cs="方正小标宋_GBK"/>
          <w:b w:val="0"/>
          <w:bCs/>
          <w:color w:val="000000"/>
          <w:sz w:val="44"/>
          <w:szCs w:val="44"/>
          <w:lang w:val="en-US" w:eastAsia="zh-CN"/>
        </w:rPr>
        <w:t>项目实施方案</w:t>
      </w:r>
    </w:p>
    <w:p w14:paraId="19F14C1D">
      <w:pPr>
        <w:spacing w:line="560" w:lineRule="exact"/>
        <w:ind w:left="3122" w:leftChars="544" w:hanging="1980" w:hangingChars="450"/>
        <w:rPr>
          <w:rFonts w:hint="eastAsia" w:ascii="仿宋" w:hAnsi="仿宋" w:eastAsia="仿宋"/>
          <w:color w:val="000000"/>
          <w:sz w:val="44"/>
          <w:szCs w:val="44"/>
        </w:rPr>
      </w:pPr>
    </w:p>
    <w:p w14:paraId="48A8CBCB">
      <w:pPr>
        <w:spacing w:line="560" w:lineRule="exact"/>
        <w:ind w:left="3122" w:leftChars="544" w:hanging="1980" w:hangingChars="450"/>
        <w:rPr>
          <w:rFonts w:hint="eastAsia" w:ascii="仿宋" w:hAnsi="仿宋" w:eastAsia="仿宋"/>
          <w:color w:val="000000"/>
          <w:sz w:val="44"/>
          <w:szCs w:val="44"/>
        </w:rPr>
      </w:pPr>
    </w:p>
    <w:p w14:paraId="525886E7">
      <w:pPr>
        <w:spacing w:line="560" w:lineRule="exact"/>
        <w:ind w:left="3122" w:leftChars="544" w:hanging="1980" w:hangingChars="450"/>
        <w:rPr>
          <w:rFonts w:hint="eastAsia" w:ascii="仿宋" w:hAnsi="仿宋" w:eastAsia="仿宋"/>
          <w:color w:val="000000"/>
          <w:sz w:val="44"/>
          <w:szCs w:val="44"/>
        </w:rPr>
      </w:pPr>
    </w:p>
    <w:p w14:paraId="71377FB9">
      <w:pPr>
        <w:spacing w:line="560" w:lineRule="exact"/>
        <w:ind w:left="3122" w:leftChars="544" w:hanging="1980" w:hangingChars="450"/>
        <w:rPr>
          <w:rFonts w:hint="eastAsia" w:ascii="仿宋_GB2312" w:hAnsi="仿宋" w:eastAsia="仿宋_GB2312"/>
          <w:color w:val="000000"/>
          <w:sz w:val="44"/>
          <w:szCs w:val="44"/>
        </w:rPr>
      </w:pPr>
    </w:p>
    <w:p w14:paraId="56C88C1E">
      <w:pPr>
        <w:keepNext w:val="0"/>
        <w:keepLines w:val="0"/>
        <w:pageBreakBefore w:val="0"/>
        <w:widowControl w:val="0"/>
        <w:kinsoku/>
        <w:wordWrap/>
        <w:overflowPunct/>
        <w:topLinePunct w:val="0"/>
        <w:autoSpaceDE/>
        <w:autoSpaceDN/>
        <w:bidi w:val="0"/>
        <w:adjustRightInd/>
        <w:snapToGrid/>
        <w:spacing w:line="560" w:lineRule="exact"/>
        <w:ind w:left="2244" w:leftChars="304" w:hanging="1606" w:hangingChars="500"/>
        <w:textAlignment w:val="auto"/>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rPr>
        <w:t>项目名称：</w:t>
      </w:r>
      <w:r>
        <w:rPr>
          <w:rFonts w:hint="eastAsia" w:ascii="方正仿宋_GBK" w:hAnsi="方正仿宋_GBK" w:eastAsia="方正仿宋_GBK" w:cs="方正仿宋_GBK"/>
          <w:b/>
          <w:bCs/>
          <w:color w:val="000000"/>
          <w:sz w:val="32"/>
          <w:szCs w:val="32"/>
          <w:lang w:val="en-US" w:eastAsia="zh-CN"/>
        </w:rPr>
        <w:t>2026年XX农民专业合作社小麦生产托管农业社会化服务项目</w:t>
      </w:r>
    </w:p>
    <w:p w14:paraId="116C9DFD">
      <w:pPr>
        <w:keepNext w:val="0"/>
        <w:keepLines w:val="0"/>
        <w:pageBreakBefore w:val="0"/>
        <w:widowControl w:val="0"/>
        <w:tabs>
          <w:tab w:val="left" w:pos="1260"/>
          <w:tab w:val="center" w:pos="4153"/>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rPr>
        <w:t>项目单位：</w:t>
      </w:r>
      <w:r>
        <w:rPr>
          <w:rFonts w:hint="eastAsia" w:ascii="方正仿宋_GBK" w:hAnsi="方正仿宋_GBK" w:eastAsia="方正仿宋_GBK" w:cs="方正仿宋_GBK"/>
          <w:b/>
          <w:bCs/>
          <w:color w:val="000000"/>
          <w:sz w:val="32"/>
          <w:szCs w:val="32"/>
          <w:lang w:val="en-US" w:eastAsia="zh-CN"/>
        </w:rPr>
        <w:t>XX农民专业合作社</w:t>
      </w:r>
    </w:p>
    <w:p w14:paraId="5D62EB36">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rPr>
        <w:t>负 责 人：</w:t>
      </w:r>
      <w:r>
        <w:rPr>
          <w:rFonts w:hint="eastAsia" w:ascii="方正仿宋_GBK" w:hAnsi="方正仿宋_GBK" w:eastAsia="方正仿宋_GBK" w:cs="方正仿宋_GBK"/>
          <w:b/>
          <w:bCs/>
          <w:color w:val="000000"/>
          <w:sz w:val="32"/>
          <w:szCs w:val="32"/>
          <w:lang w:val="en-US" w:eastAsia="zh-CN"/>
        </w:rPr>
        <w:t xml:space="preserve">XX  </w:t>
      </w:r>
      <w:r>
        <w:rPr>
          <w:rFonts w:hint="eastAsia" w:ascii="方正仿宋_GBK" w:hAnsi="方正仿宋_GBK" w:eastAsia="方正仿宋_GBK" w:cs="方正仿宋_GBK"/>
          <w:b/>
          <w:bCs/>
          <w:color w:val="000000"/>
          <w:sz w:val="32"/>
          <w:szCs w:val="32"/>
        </w:rPr>
        <w:t>电话</w:t>
      </w:r>
      <w:r>
        <w:rPr>
          <w:rFonts w:hint="eastAsia" w:ascii="方正仿宋_GBK" w:hAnsi="方正仿宋_GBK" w:eastAsia="方正仿宋_GBK" w:cs="方正仿宋_GBK"/>
          <w:b/>
          <w:bCs/>
          <w:color w:val="000000"/>
          <w:sz w:val="32"/>
          <w:szCs w:val="32"/>
          <w:lang w:eastAsia="zh-CN"/>
        </w:rPr>
        <w:t>：</w:t>
      </w:r>
      <w:r>
        <w:rPr>
          <w:rFonts w:hint="eastAsia" w:ascii="方正仿宋_GBK" w:hAnsi="方正仿宋_GBK" w:eastAsia="方正仿宋_GBK" w:cs="方正仿宋_GBK"/>
          <w:b/>
          <w:bCs/>
          <w:color w:val="000000"/>
          <w:sz w:val="32"/>
          <w:szCs w:val="32"/>
          <w:lang w:val="en-US" w:eastAsia="zh-CN"/>
        </w:rPr>
        <w:t>XX</w:t>
      </w:r>
    </w:p>
    <w:p w14:paraId="45141791">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color w:val="000000"/>
          <w:sz w:val="30"/>
          <w:szCs w:val="30"/>
          <w:lang w:val="en-US"/>
        </w:rPr>
      </w:pPr>
      <w:r>
        <w:rPr>
          <w:rFonts w:hint="eastAsia" w:ascii="方正仿宋_GBK" w:hAnsi="方正仿宋_GBK" w:eastAsia="方正仿宋_GBK" w:cs="方正仿宋_GBK"/>
          <w:b/>
          <w:bCs/>
          <w:color w:val="000000"/>
          <w:sz w:val="32"/>
          <w:szCs w:val="32"/>
        </w:rPr>
        <w:t>联 系 人：</w:t>
      </w:r>
      <w:r>
        <w:rPr>
          <w:rFonts w:hint="eastAsia" w:ascii="方正仿宋_GBK" w:hAnsi="方正仿宋_GBK" w:eastAsia="方正仿宋_GBK" w:cs="方正仿宋_GBK"/>
          <w:b/>
          <w:bCs/>
          <w:color w:val="000000"/>
          <w:sz w:val="32"/>
          <w:szCs w:val="32"/>
          <w:lang w:val="en-US" w:eastAsia="zh-CN"/>
        </w:rPr>
        <w:t xml:space="preserve">XX  </w:t>
      </w:r>
      <w:r>
        <w:rPr>
          <w:rFonts w:hint="eastAsia" w:ascii="方正仿宋_GBK" w:hAnsi="方正仿宋_GBK" w:eastAsia="方正仿宋_GBK" w:cs="方正仿宋_GBK"/>
          <w:b/>
          <w:bCs/>
          <w:color w:val="000000"/>
          <w:sz w:val="32"/>
          <w:szCs w:val="32"/>
        </w:rPr>
        <w:t>电话：</w:t>
      </w:r>
      <w:r>
        <w:rPr>
          <w:rFonts w:hint="eastAsia" w:ascii="方正仿宋_GBK" w:hAnsi="方正仿宋_GBK" w:eastAsia="方正仿宋_GBK" w:cs="方正仿宋_GBK"/>
          <w:b/>
          <w:bCs/>
          <w:color w:val="000000"/>
          <w:sz w:val="32"/>
          <w:szCs w:val="32"/>
          <w:lang w:val="en-US" w:eastAsia="zh-CN"/>
        </w:rPr>
        <w:t>XX</w:t>
      </w:r>
    </w:p>
    <w:p w14:paraId="5D9A93FC">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rPr>
        <w:t>主管部门：</w:t>
      </w:r>
      <w:r>
        <w:rPr>
          <w:rFonts w:hint="eastAsia" w:ascii="方正仿宋_GBK" w:hAnsi="方正仿宋_GBK" w:eastAsia="方正仿宋_GBK" w:cs="方正仿宋_GBK"/>
          <w:b/>
          <w:bCs/>
          <w:color w:val="000000"/>
          <w:sz w:val="32"/>
          <w:szCs w:val="32"/>
          <w:lang w:eastAsia="zh-CN"/>
        </w:rPr>
        <w:t>轮台县</w:t>
      </w:r>
      <w:r>
        <w:rPr>
          <w:rFonts w:hint="eastAsia" w:ascii="方正仿宋_GBK" w:hAnsi="方正仿宋_GBK" w:eastAsia="方正仿宋_GBK" w:cs="方正仿宋_GBK"/>
          <w:b/>
          <w:bCs/>
          <w:color w:val="000000"/>
          <w:sz w:val="32"/>
          <w:szCs w:val="32"/>
          <w:lang w:val="en-US" w:eastAsia="zh-CN"/>
        </w:rPr>
        <w:t>农业农村局</w:t>
      </w:r>
    </w:p>
    <w:p w14:paraId="730F319F">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rPr>
        <w:t>通讯地址：</w:t>
      </w:r>
      <w:r>
        <w:rPr>
          <w:rFonts w:hint="eastAsia" w:ascii="方正仿宋_GBK" w:hAnsi="方正仿宋_GBK" w:eastAsia="方正仿宋_GBK" w:cs="方正仿宋_GBK"/>
          <w:b/>
          <w:bCs/>
          <w:color w:val="000000"/>
          <w:sz w:val="32"/>
          <w:szCs w:val="32"/>
          <w:lang w:eastAsia="zh-CN"/>
        </w:rPr>
        <w:t>轮台县</w:t>
      </w:r>
      <w:r>
        <w:rPr>
          <w:rFonts w:hint="eastAsia" w:ascii="方正仿宋_GBK" w:hAnsi="方正仿宋_GBK" w:eastAsia="方正仿宋_GBK" w:cs="方正仿宋_GBK"/>
          <w:b/>
          <w:bCs/>
          <w:color w:val="000000"/>
          <w:sz w:val="32"/>
          <w:szCs w:val="32"/>
          <w:lang w:val="en-US" w:eastAsia="zh-CN"/>
        </w:rPr>
        <w:t>XX</w:t>
      </w:r>
    </w:p>
    <w:p w14:paraId="4BFD5F60">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rPr>
        <w:t>邮政编码：</w:t>
      </w:r>
      <w:r>
        <w:rPr>
          <w:rFonts w:hint="eastAsia" w:ascii="方正仿宋_GBK" w:hAnsi="方正仿宋_GBK" w:eastAsia="方正仿宋_GBK" w:cs="方正仿宋_GBK"/>
          <w:b/>
          <w:bCs/>
          <w:color w:val="000000"/>
          <w:sz w:val="32"/>
          <w:szCs w:val="32"/>
          <w:lang w:val="en-US" w:eastAsia="zh-CN"/>
        </w:rPr>
        <w:t>841000</w:t>
      </w:r>
    </w:p>
    <w:p w14:paraId="5E71A4A5">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rPr>
        <w:t>联系电话：</w:t>
      </w:r>
      <w:r>
        <w:rPr>
          <w:rFonts w:hint="eastAsia" w:ascii="方正仿宋_GBK" w:hAnsi="方正仿宋_GBK" w:eastAsia="方正仿宋_GBK" w:cs="方正仿宋_GBK"/>
          <w:b/>
          <w:bCs/>
          <w:color w:val="000000"/>
          <w:sz w:val="32"/>
          <w:szCs w:val="32"/>
          <w:lang w:val="en-US" w:eastAsia="zh-CN"/>
        </w:rPr>
        <w:t>0996-XX</w:t>
      </w:r>
    </w:p>
    <w:p w14:paraId="575629C4">
      <w:pPr>
        <w:pStyle w:val="12"/>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center"/>
        <w:textAlignment w:val="baseline"/>
        <w:rPr>
          <w:rFonts w:hint="eastAsia" w:ascii="方正小标宋_GBK" w:hAnsi="方正小标宋_GBK" w:eastAsia="方正小标宋_GBK" w:cs="方正小标宋_GBK"/>
          <w:color w:val="auto"/>
          <w:sz w:val="44"/>
          <w:szCs w:val="44"/>
          <w:highlight w:val="none"/>
          <w:lang w:val="en-US" w:eastAsia="zh-CN"/>
        </w:rPr>
      </w:pPr>
    </w:p>
    <w:p w14:paraId="5A0F2C7C">
      <w:pPr>
        <w:pStyle w:val="12"/>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center"/>
        <w:textAlignment w:val="baseline"/>
        <w:rPr>
          <w:rFonts w:hint="eastAsia" w:ascii="方正小标宋_GBK" w:hAnsi="方正小标宋_GBK" w:eastAsia="方正小标宋_GBK" w:cs="方正小标宋_GBK"/>
          <w:color w:val="auto"/>
          <w:sz w:val="44"/>
          <w:szCs w:val="44"/>
          <w:highlight w:val="none"/>
          <w:lang w:val="en-US" w:eastAsia="zh-CN"/>
        </w:rPr>
      </w:pPr>
    </w:p>
    <w:p w14:paraId="35F7EF2D">
      <w:pPr>
        <w:rPr>
          <w:rFonts w:hint="eastAsia" w:ascii="方正小标宋_GBK" w:hAnsi="方正小标宋_GBK" w:eastAsia="方正小标宋_GBK" w:cs="方正小标宋_GBK"/>
          <w:color w:val="auto"/>
          <w:sz w:val="44"/>
          <w:szCs w:val="44"/>
          <w:highlight w:val="none"/>
          <w:lang w:val="en-US" w:eastAsia="zh-CN"/>
        </w:rPr>
      </w:pPr>
    </w:p>
    <w:p w14:paraId="66696BCB">
      <w:pPr>
        <w:pStyle w:val="7"/>
        <w:widowControl w:val="0"/>
        <w:numPr>
          <w:ilvl w:val="0"/>
          <w:numId w:val="0"/>
        </w:numPr>
        <w:jc w:val="both"/>
        <w:rPr>
          <w:rFonts w:hint="eastAsia" w:ascii="方正小标宋_GBK" w:hAnsi="方正小标宋_GBK" w:eastAsia="方正小标宋_GBK" w:cs="方正小标宋_GBK"/>
          <w:color w:val="auto"/>
          <w:sz w:val="44"/>
          <w:szCs w:val="44"/>
          <w:highlight w:val="none"/>
          <w:lang w:val="en-US" w:eastAsia="zh-CN"/>
        </w:rPr>
      </w:pPr>
    </w:p>
    <w:p w14:paraId="4EEFCFE4">
      <w:pPr>
        <w:pStyle w:val="7"/>
        <w:widowControl w:val="0"/>
        <w:numPr>
          <w:ilvl w:val="0"/>
          <w:numId w:val="0"/>
        </w:numPr>
        <w:jc w:val="both"/>
        <w:rPr>
          <w:rFonts w:hint="eastAsia" w:ascii="方正小标宋_GBK" w:hAnsi="方正小标宋_GBK" w:eastAsia="方正小标宋_GBK" w:cs="方正小标宋_GBK"/>
          <w:color w:val="auto"/>
          <w:sz w:val="44"/>
          <w:szCs w:val="44"/>
          <w:highlight w:val="none"/>
          <w:lang w:val="en-US" w:eastAsia="zh-CN"/>
        </w:rPr>
      </w:pPr>
    </w:p>
    <w:p w14:paraId="242C338D">
      <w:pPr>
        <w:pStyle w:val="12"/>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center"/>
        <w:textAlignment w:val="baseline"/>
        <w:rPr>
          <w:rFonts w:hint="eastAsia" w:ascii="方正小标宋_GBK" w:hAnsi="方正小标宋_GBK" w:eastAsia="方正小标宋_GBK" w:cs="方正小标宋_GBK"/>
          <w:color w:val="auto"/>
          <w:spacing w:val="-20"/>
          <w:sz w:val="40"/>
          <w:szCs w:val="40"/>
          <w:highlight w:val="none"/>
          <w:lang w:val="en-US" w:eastAsia="zh-CN"/>
        </w:rPr>
      </w:pPr>
    </w:p>
    <w:p w14:paraId="63D4BF4E">
      <w:pPr>
        <w:pStyle w:val="12"/>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center"/>
        <w:textAlignment w:val="baseline"/>
        <w:rPr>
          <w:rFonts w:hint="default" w:ascii="方正小标宋_GBK" w:hAnsi="方正小标宋_GBK" w:eastAsia="方正小标宋_GBK" w:cs="方正小标宋_GBK"/>
          <w:b w:val="0"/>
          <w:bCs w:val="0"/>
          <w:color w:val="auto"/>
          <w:spacing w:val="-20"/>
          <w:kern w:val="2"/>
          <w:sz w:val="40"/>
          <w:szCs w:val="40"/>
          <w:highlight w:val="yellow"/>
          <w:lang w:val="en-US" w:eastAsia="zh-CN" w:bidi="ar-SA"/>
        </w:rPr>
      </w:pPr>
      <w:r>
        <w:rPr>
          <w:rFonts w:hint="eastAsia" w:ascii="方正小标宋_GBK" w:hAnsi="方正小标宋_GBK" w:eastAsia="方正小标宋_GBK" w:cs="方正小标宋_GBK"/>
          <w:color w:val="auto"/>
          <w:spacing w:val="-20"/>
          <w:sz w:val="40"/>
          <w:szCs w:val="40"/>
          <w:highlight w:val="none"/>
          <w:lang w:val="en-US" w:eastAsia="zh-CN"/>
        </w:rPr>
        <w:t>2026年</w:t>
      </w:r>
      <w:r>
        <w:rPr>
          <w:rFonts w:hint="eastAsia" w:ascii="方正仿宋_GBK" w:hAnsi="方正仿宋_GBK" w:eastAsia="方正仿宋_GBK" w:cs="方正仿宋_GBK"/>
          <w:b/>
          <w:bCs/>
          <w:color w:val="000000"/>
          <w:sz w:val="32"/>
          <w:szCs w:val="32"/>
          <w:lang w:val="en-US" w:eastAsia="zh-CN"/>
        </w:rPr>
        <w:t>XX</w:t>
      </w:r>
      <w:r>
        <w:rPr>
          <w:rFonts w:hint="eastAsia" w:ascii="方正小标宋_GBK" w:hAnsi="方正小标宋_GBK" w:eastAsia="方正小标宋_GBK" w:cs="方正小标宋_GBK"/>
          <w:color w:val="auto"/>
          <w:spacing w:val="-20"/>
          <w:sz w:val="40"/>
          <w:szCs w:val="40"/>
          <w:highlight w:val="none"/>
          <w:lang w:val="en-US" w:eastAsia="zh-CN"/>
        </w:rPr>
        <w:t>农民专业合作社小麦生产托管农业社会化服务项目实施方案</w:t>
      </w:r>
    </w:p>
    <w:p w14:paraId="17762E7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6BF52A7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根据</w:t>
      </w:r>
      <w:r>
        <w:rPr>
          <w:rFonts w:hint="default" w:ascii="Times New Roman" w:hAnsi="Times New Roman" w:eastAsia="方正仿宋_GBK" w:cs="Times New Roman"/>
          <w:spacing w:val="6"/>
          <w:sz w:val="32"/>
          <w:szCs w:val="32"/>
          <w:lang w:val="en-US" w:eastAsia="zh-CN"/>
        </w:rPr>
        <w:t>自治区农业农村厅、</w:t>
      </w:r>
      <w:r>
        <w:rPr>
          <w:rFonts w:hint="default" w:ascii="Times New Roman" w:hAnsi="Times New Roman" w:eastAsia="方正仿宋_GBK" w:cs="Times New Roman"/>
          <w:color w:val="auto"/>
          <w:spacing w:val="6"/>
          <w:sz w:val="32"/>
          <w:szCs w:val="32"/>
          <w:highlight w:val="none"/>
          <w:lang w:val="en-US" w:eastAsia="zh-CN"/>
        </w:rPr>
        <w:t>自治区财政厅</w:t>
      </w:r>
      <w:r>
        <w:rPr>
          <w:rFonts w:hint="default" w:ascii="Times New Roman" w:hAnsi="Times New Roman" w:eastAsia="方正仿宋_GBK" w:cs="Times New Roman"/>
          <w:spacing w:val="6"/>
          <w:sz w:val="32"/>
          <w:szCs w:val="32"/>
          <w:lang w:eastAsia="zh-CN"/>
        </w:rPr>
        <w:t>《关于印发</w:t>
      </w:r>
      <w:r>
        <w:rPr>
          <w:rFonts w:hint="default" w:ascii="Times New Roman" w:hAnsi="Times New Roman" w:eastAsia="方正仿宋_GBK" w:cs="Times New Roman"/>
          <w:spacing w:val="6"/>
          <w:sz w:val="32"/>
          <w:szCs w:val="32"/>
          <w:lang w:val="en-US" w:eastAsia="zh-CN"/>
        </w:rPr>
        <w:t>&lt;</w:t>
      </w:r>
      <w:r>
        <w:rPr>
          <w:rFonts w:hint="default" w:ascii="Times New Roman" w:hAnsi="Times New Roman" w:eastAsia="方正仿宋_GBK" w:cs="Times New Roman"/>
          <w:spacing w:val="6"/>
          <w:sz w:val="32"/>
          <w:szCs w:val="32"/>
          <w:lang w:eastAsia="zh-CN"/>
        </w:rPr>
        <w:t>自治区2024年</w:t>
      </w:r>
      <w:r>
        <w:rPr>
          <w:rFonts w:hint="default" w:ascii="Times New Roman" w:hAnsi="Times New Roman" w:eastAsia="方正仿宋_GBK" w:cs="Times New Roman"/>
          <w:spacing w:val="6"/>
          <w:sz w:val="32"/>
          <w:szCs w:val="32"/>
          <w:lang w:val="en-US" w:eastAsia="zh-CN"/>
        </w:rPr>
        <w:t>农业经营主体能力提升（农业社会化服务）项目实施方案&gt;</w:t>
      </w:r>
      <w:r>
        <w:rPr>
          <w:rFonts w:hint="default" w:ascii="Times New Roman" w:hAnsi="Times New Roman" w:eastAsia="方正仿宋_GBK" w:cs="Times New Roman"/>
          <w:spacing w:val="6"/>
          <w:sz w:val="32"/>
          <w:szCs w:val="32"/>
          <w:lang w:eastAsia="zh-CN"/>
        </w:rPr>
        <w:t>的通知</w:t>
      </w:r>
      <w:r>
        <w:rPr>
          <w:rFonts w:hint="default" w:ascii="Times New Roman" w:hAnsi="Times New Roman" w:eastAsia="方正仿宋_GBK" w:cs="Times New Roman"/>
          <w:b w:val="0"/>
          <w:bCs w:val="0"/>
          <w:spacing w:val="6"/>
          <w:sz w:val="32"/>
          <w:szCs w:val="32"/>
          <w:lang w:val="en-US" w:eastAsia="zh-CN"/>
        </w:rPr>
        <w:t>》</w:t>
      </w:r>
      <w:r>
        <w:rPr>
          <w:rFonts w:hint="default" w:ascii="Times New Roman" w:hAnsi="Times New Roman" w:eastAsia="方正仿宋_GBK" w:cs="Times New Roman"/>
          <w:b w:val="0"/>
          <w:bCs w:val="0"/>
          <w:spacing w:val="6"/>
          <w:sz w:val="32"/>
          <w:szCs w:val="32"/>
          <w:highlight w:val="none"/>
          <w:lang w:val="en-US" w:eastAsia="zh-CN"/>
        </w:rPr>
        <w:t>（新农经</w:t>
      </w:r>
      <w:r>
        <w:rPr>
          <w:rFonts w:hint="default" w:ascii="Times New Roman" w:hAnsi="Times New Roman" w:eastAsia="方正仿宋_GBK" w:cs="Times New Roman"/>
          <w:spacing w:val="6"/>
          <w:sz w:val="32"/>
          <w:szCs w:val="32"/>
          <w:highlight w:val="none"/>
        </w:rPr>
        <w:t>〔</w:t>
      </w:r>
      <w:r>
        <w:rPr>
          <w:rFonts w:hint="default" w:ascii="Times New Roman" w:hAnsi="Times New Roman" w:eastAsia="方正仿宋_GBK" w:cs="Times New Roman"/>
          <w:b w:val="0"/>
          <w:bCs w:val="0"/>
          <w:spacing w:val="6"/>
          <w:sz w:val="32"/>
          <w:szCs w:val="32"/>
          <w:highlight w:val="none"/>
          <w:lang w:val="en-US" w:eastAsia="zh-CN"/>
        </w:rPr>
        <w:t>2024</w:t>
      </w:r>
      <w:r>
        <w:rPr>
          <w:rFonts w:hint="default" w:ascii="Times New Roman" w:hAnsi="Times New Roman" w:eastAsia="方正仿宋_GBK" w:cs="Times New Roman"/>
          <w:spacing w:val="6"/>
          <w:sz w:val="32"/>
          <w:szCs w:val="32"/>
          <w:highlight w:val="none"/>
        </w:rPr>
        <w:t>〕</w:t>
      </w:r>
      <w:r>
        <w:rPr>
          <w:rFonts w:hint="default" w:ascii="Times New Roman" w:hAnsi="Times New Roman" w:eastAsia="方正仿宋_GBK" w:cs="Times New Roman"/>
          <w:b w:val="0"/>
          <w:bCs w:val="0"/>
          <w:spacing w:val="6"/>
          <w:sz w:val="32"/>
          <w:szCs w:val="32"/>
          <w:highlight w:val="none"/>
          <w:lang w:val="en-US" w:eastAsia="zh-CN"/>
        </w:rPr>
        <w:t>89号）</w:t>
      </w:r>
      <w:r>
        <w:rPr>
          <w:rFonts w:hint="eastAsia" w:ascii="Times New Roman" w:hAnsi="Times New Roman" w:eastAsia="方正仿宋_GBK" w:cs="Times New Roman"/>
          <w:b w:val="0"/>
          <w:bCs w:val="0"/>
          <w:spacing w:val="6"/>
          <w:sz w:val="32"/>
          <w:szCs w:val="32"/>
          <w:lang w:val="en-US" w:eastAsia="zh-CN"/>
        </w:rPr>
        <w:t>、</w:t>
      </w:r>
      <w:r>
        <w:rPr>
          <w:rFonts w:hint="default" w:ascii="Times New Roman" w:hAnsi="Times New Roman" w:eastAsia="方正仿宋_GBK" w:cs="Times New Roman"/>
          <w:b w:val="0"/>
          <w:bCs w:val="0"/>
          <w:spacing w:val="6"/>
          <w:sz w:val="32"/>
          <w:szCs w:val="32"/>
          <w:lang w:val="en-US" w:eastAsia="zh-CN"/>
        </w:rPr>
        <w:t>巴州财政局《关于提前下达2024年中央农业经营主体能力提升（第一批）资金预算的通知》（巴财农</w:t>
      </w:r>
      <w:r>
        <w:rPr>
          <w:rFonts w:hint="default" w:ascii="Times New Roman" w:hAnsi="Times New Roman" w:eastAsia="方正仿宋_GBK" w:cs="Times New Roman"/>
          <w:spacing w:val="6"/>
          <w:sz w:val="32"/>
          <w:szCs w:val="32"/>
        </w:rPr>
        <w:t>〔</w:t>
      </w:r>
      <w:r>
        <w:rPr>
          <w:rFonts w:hint="default" w:ascii="Times New Roman" w:hAnsi="Times New Roman" w:eastAsia="方正仿宋_GBK" w:cs="Times New Roman"/>
          <w:b w:val="0"/>
          <w:bCs w:val="0"/>
          <w:spacing w:val="6"/>
          <w:sz w:val="32"/>
          <w:szCs w:val="32"/>
          <w:lang w:val="en-US" w:eastAsia="zh-CN"/>
        </w:rPr>
        <w:t>2023</w:t>
      </w:r>
      <w:r>
        <w:rPr>
          <w:rFonts w:hint="default" w:ascii="Times New Roman" w:hAnsi="Times New Roman" w:eastAsia="方正仿宋_GBK" w:cs="Times New Roman"/>
          <w:spacing w:val="6"/>
          <w:sz w:val="32"/>
          <w:szCs w:val="32"/>
        </w:rPr>
        <w:t>〕</w:t>
      </w:r>
      <w:r>
        <w:rPr>
          <w:rFonts w:hint="default" w:ascii="Times New Roman" w:hAnsi="Times New Roman" w:eastAsia="方正仿宋_GBK" w:cs="Times New Roman"/>
          <w:b w:val="0"/>
          <w:bCs w:val="0"/>
          <w:spacing w:val="6"/>
          <w:sz w:val="32"/>
          <w:szCs w:val="32"/>
          <w:lang w:val="en-US" w:eastAsia="zh-CN"/>
        </w:rPr>
        <w:t>57号）</w:t>
      </w:r>
      <w:r>
        <w:rPr>
          <w:rFonts w:hint="eastAsia" w:ascii="Times New Roman" w:hAnsi="Times New Roman" w:eastAsia="方正仿宋_GBK" w:cs="Times New Roman"/>
          <w:b w:val="0"/>
          <w:bCs w:val="0"/>
          <w:spacing w:val="6"/>
          <w:sz w:val="32"/>
          <w:szCs w:val="32"/>
          <w:lang w:val="en-US" w:eastAsia="zh-CN"/>
        </w:rPr>
        <w:t>、</w:t>
      </w:r>
      <w:r>
        <w:rPr>
          <w:rFonts w:hint="default" w:ascii="Times New Roman" w:hAnsi="Times New Roman" w:eastAsia="方正仿宋_GBK" w:cs="Times New Roman"/>
          <w:b w:val="0"/>
          <w:bCs w:val="0"/>
          <w:spacing w:val="6"/>
          <w:sz w:val="32"/>
          <w:szCs w:val="32"/>
          <w:lang w:val="en-US" w:eastAsia="zh-CN"/>
        </w:rPr>
        <w:t>《</w:t>
      </w:r>
      <w:r>
        <w:rPr>
          <w:rFonts w:hint="eastAsia" w:ascii="Times New Roman" w:hAnsi="Times New Roman" w:eastAsia="方正仿宋_GBK" w:cs="Times New Roman"/>
          <w:b w:val="0"/>
          <w:bCs w:val="0"/>
          <w:spacing w:val="6"/>
          <w:sz w:val="32"/>
          <w:szCs w:val="32"/>
          <w:lang w:val="en-US" w:eastAsia="zh-CN"/>
        </w:rPr>
        <w:t>轮台县</w:t>
      </w:r>
      <w:r>
        <w:rPr>
          <w:rFonts w:hint="default" w:ascii="Times New Roman" w:hAnsi="Times New Roman" w:eastAsia="方正仿宋_GBK" w:cs="Times New Roman"/>
          <w:b w:val="0"/>
          <w:bCs w:val="0"/>
          <w:spacing w:val="6"/>
          <w:sz w:val="32"/>
          <w:szCs w:val="32"/>
          <w:lang w:val="en-US" w:eastAsia="zh-CN"/>
        </w:rPr>
        <w:t>2024年农业经营主体能力提升（农业社会化服务）项目实施方案》（</w:t>
      </w:r>
      <w:r>
        <w:rPr>
          <w:rFonts w:hint="eastAsia" w:ascii="Times New Roman" w:hAnsi="Times New Roman" w:eastAsia="方正仿宋_GBK" w:cs="Times New Roman"/>
          <w:b w:val="0"/>
          <w:bCs w:val="0"/>
          <w:spacing w:val="6"/>
          <w:sz w:val="32"/>
          <w:szCs w:val="32"/>
          <w:lang w:val="en-US" w:eastAsia="zh-CN"/>
        </w:rPr>
        <w:t>轮</w:t>
      </w:r>
      <w:r>
        <w:rPr>
          <w:rFonts w:hint="default" w:ascii="Times New Roman" w:hAnsi="Times New Roman" w:eastAsia="方正仿宋_GBK" w:cs="Times New Roman"/>
          <w:b w:val="0"/>
          <w:bCs w:val="0"/>
          <w:spacing w:val="6"/>
          <w:sz w:val="32"/>
          <w:szCs w:val="32"/>
          <w:lang w:val="en-US" w:eastAsia="zh-CN"/>
        </w:rPr>
        <w:t>农字</w:t>
      </w:r>
      <w:r>
        <w:rPr>
          <w:rFonts w:hint="default" w:ascii="Times New Roman" w:hAnsi="Times New Roman" w:eastAsia="方正仿宋_GBK" w:cs="Times New Roman"/>
          <w:sz w:val="32"/>
          <w:szCs w:val="32"/>
        </w:rPr>
        <w:t>〔</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sz w:val="32"/>
          <w:szCs w:val="32"/>
        </w:rPr>
        <w:t>〕</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sz w:val="32"/>
          <w:szCs w:val="32"/>
        </w:rPr>
        <w:t>号</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b w:val="0"/>
          <w:bCs w:val="0"/>
          <w:color w:val="auto"/>
          <w:spacing w:val="0"/>
          <w:kern w:val="2"/>
          <w:sz w:val="32"/>
          <w:szCs w:val="32"/>
          <w:highlight w:val="none"/>
          <w:lang w:val="en-US" w:eastAsia="zh-CN" w:bidi="ar-SA"/>
        </w:rPr>
        <w:t>《</w:t>
      </w:r>
      <w:r>
        <w:rPr>
          <w:rFonts w:hint="eastAsia" w:ascii="Times New Roman" w:hAnsi="Times New Roman" w:eastAsia="方正仿宋_GBK" w:cs="Times New Roman"/>
          <w:b w:val="0"/>
          <w:bCs w:val="0"/>
          <w:color w:val="auto"/>
          <w:spacing w:val="0"/>
          <w:kern w:val="2"/>
          <w:sz w:val="32"/>
          <w:szCs w:val="32"/>
          <w:highlight w:val="none"/>
          <w:lang w:val="en-US" w:eastAsia="zh-CN" w:bidi="ar-SA"/>
        </w:rPr>
        <w:t>轮台县</w:t>
      </w:r>
      <w:r>
        <w:rPr>
          <w:rFonts w:hint="default" w:ascii="Times New Roman" w:hAnsi="Times New Roman" w:eastAsia="方正仿宋_GBK" w:cs="Times New Roman"/>
          <w:b w:val="0"/>
          <w:bCs w:val="0"/>
          <w:color w:val="auto"/>
          <w:spacing w:val="0"/>
          <w:kern w:val="2"/>
          <w:sz w:val="32"/>
          <w:szCs w:val="32"/>
          <w:highlight w:val="none"/>
          <w:lang w:val="en-US" w:eastAsia="zh-CN" w:bidi="ar-SA"/>
        </w:rPr>
        <w:t>2024年中央财政农业社会化服务结余资金项目实施方案》文件精神，制定</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农民专业合作社农业社会化服务项目实施方案如下。</w:t>
      </w:r>
    </w:p>
    <w:p w14:paraId="6A635A2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黑体_GBK" w:hAnsi="方正黑体_GBK" w:eastAsia="方正黑体_GBK" w:cs="方正黑体_GBK"/>
          <w:b w:val="0"/>
          <w:bCs w:val="0"/>
          <w:color w:val="auto"/>
          <w:spacing w:val="0"/>
          <w:kern w:val="2"/>
          <w:sz w:val="32"/>
          <w:szCs w:val="32"/>
          <w:highlight w:val="none"/>
          <w:lang w:val="en-US" w:eastAsia="zh-CN" w:bidi="ar-SA"/>
        </w:rPr>
      </w:pPr>
      <w:r>
        <w:rPr>
          <w:rFonts w:hint="eastAsia" w:ascii="方正黑体_GBK" w:hAnsi="方正黑体_GBK" w:eastAsia="方正黑体_GBK" w:cs="方正黑体_GBK"/>
          <w:b w:val="0"/>
          <w:bCs w:val="0"/>
          <w:color w:val="auto"/>
          <w:spacing w:val="0"/>
          <w:kern w:val="2"/>
          <w:sz w:val="32"/>
          <w:szCs w:val="32"/>
          <w:highlight w:val="none"/>
          <w:lang w:val="en-US" w:eastAsia="zh-CN" w:bidi="ar-SA"/>
        </w:rPr>
        <w:t>一、基本情况</w:t>
      </w:r>
    </w:p>
    <w:p w14:paraId="024919C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农民专业合作社，成立于</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年，注册地址位于</w:t>
      </w:r>
      <w:r>
        <w:rPr>
          <w:rFonts w:hint="eastAsia" w:ascii="Times New Roman" w:hAnsi="Times New Roman" w:eastAsia="方正仿宋_GBK" w:cs="Times New Roman"/>
          <w:b w:val="0"/>
          <w:bCs w:val="0"/>
          <w:color w:val="auto"/>
          <w:spacing w:val="0"/>
          <w:kern w:val="2"/>
          <w:sz w:val="32"/>
          <w:szCs w:val="32"/>
          <w:highlight w:val="none"/>
          <w:lang w:val="en-US" w:eastAsia="zh-CN" w:bidi="ar-SA"/>
        </w:rPr>
        <w:t>轮台县</w:t>
      </w:r>
      <w:r>
        <w:rPr>
          <w:rFonts w:hint="default" w:ascii="Times New Roman" w:hAnsi="Times New Roman" w:eastAsia="方正仿宋_GBK" w:cs="Times New Roman"/>
          <w:b w:val="0"/>
          <w:bCs w:val="0"/>
          <w:color w:val="auto"/>
          <w:spacing w:val="0"/>
          <w:kern w:val="2"/>
          <w:sz w:val="32"/>
          <w:szCs w:val="32"/>
          <w:highlight w:val="none"/>
          <w:lang w:val="en-US" w:eastAsia="zh-CN" w:bidi="ar-SA"/>
        </w:rPr>
        <w:t>建</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是一家从事棉花、谷物种植，为农户提供全程农业机械化服务、农作物病虫害防治服务、技术服务的农民专业合作社。主要服务作物以小麦、棉花为主。合作社组建专业化农机作业团队，现有持证农机驾驶员共计</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名，持有多台各类型耕作机械，其中拖拉机及播种机</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台，无人机</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台，采棉机及收割机</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台，残膜回收机及运输车辆</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auto"/>
          <w:spacing w:val="0"/>
          <w:kern w:val="2"/>
          <w:sz w:val="32"/>
          <w:szCs w:val="32"/>
          <w:highlight w:val="none"/>
          <w:lang w:val="en-US" w:eastAsia="zh-CN" w:bidi="ar-SA"/>
        </w:rPr>
        <w:t>台，农业机械服务面积达到</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b w:val="0"/>
          <w:bCs w:val="0"/>
          <w:color w:val="FF0000"/>
          <w:spacing w:val="0"/>
          <w:kern w:val="2"/>
          <w:sz w:val="32"/>
          <w:szCs w:val="32"/>
          <w:highlight w:val="none"/>
          <w:lang w:val="en-US" w:eastAsia="zh-CN" w:bidi="ar-SA"/>
        </w:rPr>
        <w:t>万</w:t>
      </w:r>
      <w:r>
        <w:rPr>
          <w:rFonts w:hint="default" w:ascii="Times New Roman" w:hAnsi="Times New Roman" w:eastAsia="方正仿宋_GBK" w:cs="Times New Roman"/>
          <w:b w:val="0"/>
          <w:bCs w:val="0"/>
          <w:color w:val="auto"/>
          <w:spacing w:val="0"/>
          <w:kern w:val="2"/>
          <w:sz w:val="32"/>
          <w:szCs w:val="32"/>
          <w:highlight w:val="none"/>
          <w:lang w:val="en-US" w:eastAsia="zh-CN" w:bidi="ar-SA"/>
        </w:rPr>
        <w:t>亩。</w:t>
      </w:r>
    </w:p>
    <w:p w14:paraId="51C5599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黑体_GBK" w:hAnsi="方正黑体_GBK" w:eastAsia="方正黑体_GBK" w:cs="方正黑体_GBK"/>
          <w:b w:val="0"/>
          <w:bCs w:val="0"/>
          <w:color w:val="auto"/>
          <w:spacing w:val="0"/>
          <w:kern w:val="2"/>
          <w:sz w:val="32"/>
          <w:szCs w:val="32"/>
          <w:highlight w:val="none"/>
          <w:lang w:val="en-US" w:eastAsia="zh-CN" w:bidi="ar-SA"/>
        </w:rPr>
      </w:pPr>
      <w:r>
        <w:rPr>
          <w:rFonts w:hint="eastAsia" w:ascii="方正黑体_GBK" w:hAnsi="方正黑体_GBK" w:eastAsia="方正黑体_GBK" w:cs="方正黑体_GBK"/>
          <w:b w:val="0"/>
          <w:bCs w:val="0"/>
          <w:color w:val="auto"/>
          <w:spacing w:val="0"/>
          <w:kern w:val="2"/>
          <w:sz w:val="32"/>
          <w:szCs w:val="32"/>
          <w:highlight w:val="none"/>
          <w:lang w:val="en-US" w:eastAsia="zh-CN" w:bidi="ar-SA"/>
        </w:rPr>
        <w:t>二、目标任务</w:t>
      </w:r>
    </w:p>
    <w:p w14:paraId="0C8D152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FF0000"/>
          <w:spacing w:val="0"/>
          <w:kern w:val="2"/>
          <w:sz w:val="32"/>
          <w:szCs w:val="32"/>
          <w:highlight w:val="none"/>
          <w:lang w:val="en-US" w:eastAsia="zh-CN" w:bidi="ar-SA"/>
        </w:rPr>
        <w:t>2026</w:t>
      </w:r>
      <w:r>
        <w:rPr>
          <w:rFonts w:hint="default" w:ascii="Times New Roman" w:hAnsi="Times New Roman" w:eastAsia="方正仿宋_GBK" w:cs="Times New Roman"/>
          <w:b w:val="0"/>
          <w:bCs w:val="0"/>
          <w:color w:val="auto"/>
          <w:spacing w:val="0"/>
          <w:kern w:val="2"/>
          <w:sz w:val="32"/>
          <w:szCs w:val="32"/>
          <w:highlight w:val="none"/>
          <w:lang w:val="en-US" w:eastAsia="zh-CN" w:bidi="ar-SA"/>
        </w:rPr>
        <w:t>年合作社承担</w:t>
      </w:r>
      <w:r>
        <w:rPr>
          <w:rFonts w:hint="eastAsia" w:ascii="Times New Roman" w:hAnsi="Times New Roman" w:eastAsia="方正仿宋_GBK" w:cs="Times New Roman"/>
          <w:b w:val="0"/>
          <w:bCs w:val="0"/>
          <w:color w:val="auto"/>
          <w:spacing w:val="0"/>
          <w:kern w:val="2"/>
          <w:sz w:val="32"/>
          <w:szCs w:val="32"/>
          <w:highlight w:val="none"/>
          <w:lang w:val="en-US" w:eastAsia="zh-CN" w:bidi="ar-SA"/>
        </w:rPr>
        <w:t>轮台县</w:t>
      </w:r>
      <w:r>
        <w:rPr>
          <w:rFonts w:hint="default" w:ascii="Times New Roman" w:hAnsi="Times New Roman" w:eastAsia="方正仿宋_GBK" w:cs="Times New Roman"/>
          <w:b w:val="0"/>
          <w:bCs w:val="0"/>
          <w:color w:val="auto"/>
          <w:spacing w:val="0"/>
          <w:kern w:val="2"/>
          <w:sz w:val="32"/>
          <w:szCs w:val="32"/>
          <w:highlight w:val="none"/>
          <w:lang w:val="en-US" w:eastAsia="zh-CN" w:bidi="ar-SA"/>
        </w:rPr>
        <w:t>2024年中央农业社会化服务结余资金项目，</w:t>
      </w:r>
      <w:r>
        <w:rPr>
          <w:rFonts w:hint="default" w:ascii="Times New Roman" w:hAnsi="Times New Roman" w:eastAsia="方正仿宋_GBK" w:cs="Times New Roman"/>
          <w:sz w:val="32"/>
          <w:szCs w:val="32"/>
          <w:lang w:val="en-US" w:eastAsia="zh-CN"/>
        </w:rPr>
        <w:t>分配资金额度</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sz w:val="32"/>
          <w:szCs w:val="32"/>
          <w:lang w:val="en-US" w:eastAsia="zh-CN"/>
        </w:rPr>
        <w:t>万元，用于补助农户购买小麦</w:t>
      </w:r>
      <w:r>
        <w:rPr>
          <w:rFonts w:hint="default" w:ascii="Times New Roman" w:hAnsi="Times New Roman" w:eastAsia="方正仿宋_GBK" w:cs="Times New Roman"/>
          <w:b w:val="0"/>
          <w:bCs w:val="0"/>
          <w:color w:val="auto"/>
          <w:spacing w:val="0"/>
          <w:kern w:val="2"/>
          <w:sz w:val="32"/>
          <w:szCs w:val="32"/>
          <w:highlight w:val="none"/>
          <w:lang w:val="en-US" w:eastAsia="zh-CN" w:bidi="ar-SA"/>
        </w:rPr>
        <w:t>耕、种、防、收</w:t>
      </w:r>
      <w:r>
        <w:rPr>
          <w:rFonts w:hint="default" w:ascii="Times New Roman" w:hAnsi="Times New Roman" w:eastAsia="方正仿宋_GBK" w:cs="Times New Roman"/>
          <w:sz w:val="32"/>
          <w:szCs w:val="32"/>
          <w:lang w:val="en-US" w:eastAsia="zh-CN"/>
        </w:rPr>
        <w:t>生产托管服务费用</w:t>
      </w:r>
      <w:r>
        <w:rPr>
          <w:rFonts w:hint="default" w:ascii="Times New Roman" w:hAnsi="Times New Roman" w:eastAsia="方正仿宋_GBK" w:cs="Times New Roman"/>
          <w:b w:val="0"/>
          <w:bCs w:val="0"/>
          <w:color w:val="auto"/>
          <w:spacing w:val="0"/>
          <w:kern w:val="2"/>
          <w:sz w:val="32"/>
          <w:szCs w:val="32"/>
          <w:highlight w:val="none"/>
          <w:lang w:val="en-US" w:eastAsia="zh-CN" w:bidi="ar-SA"/>
        </w:rPr>
        <w:t>。通过全程托管有效降低小农户耕作成本，减轻小农户负担，解放农户劳动力。</w:t>
      </w:r>
    </w:p>
    <w:p w14:paraId="0A89C87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default"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三、项目</w:t>
      </w:r>
      <w:r>
        <w:rPr>
          <w:rFonts w:hint="default" w:ascii="方正黑体_GBK" w:hAnsi="方正黑体_GBK" w:eastAsia="方正黑体_GBK" w:cs="方正黑体_GBK"/>
          <w:b w:val="0"/>
          <w:bCs w:val="0"/>
          <w:sz w:val="32"/>
          <w:szCs w:val="32"/>
          <w:lang w:val="en-US" w:eastAsia="zh-CN"/>
        </w:rPr>
        <w:t>内容</w:t>
      </w:r>
      <w:r>
        <w:rPr>
          <w:rFonts w:hint="eastAsia" w:ascii="方正黑体_GBK" w:hAnsi="方正黑体_GBK" w:eastAsia="方正黑体_GBK" w:cs="方正黑体_GBK"/>
          <w:b w:val="0"/>
          <w:bCs w:val="0"/>
          <w:sz w:val="32"/>
          <w:szCs w:val="32"/>
          <w:lang w:val="en-US" w:eastAsia="zh-CN"/>
        </w:rPr>
        <w:t>和要求</w:t>
      </w:r>
    </w:p>
    <w:p w14:paraId="1CE5279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sz w:val="32"/>
          <w:szCs w:val="32"/>
          <w:lang w:val="en-US" w:eastAsia="zh-CN"/>
        </w:rPr>
      </w:pPr>
      <w:r>
        <w:rPr>
          <w:rFonts w:hint="eastAsia" w:ascii="方正楷体_GBK" w:hAnsi="方正楷体_GBK" w:eastAsia="方正楷体_GBK" w:cs="方正楷体_GBK"/>
          <w:b w:val="0"/>
          <w:bCs w:val="0"/>
          <w:sz w:val="32"/>
          <w:szCs w:val="32"/>
          <w:lang w:val="en-US" w:eastAsia="zh-CN"/>
        </w:rPr>
        <w:t>（一）</w:t>
      </w:r>
      <w:r>
        <w:rPr>
          <w:rFonts w:hint="default" w:ascii="方正楷体_GBK" w:hAnsi="方正楷体_GBK" w:eastAsia="方正楷体_GBK" w:cs="方正楷体_GBK"/>
          <w:b w:val="0"/>
          <w:bCs w:val="0"/>
          <w:sz w:val="32"/>
          <w:szCs w:val="32"/>
          <w:lang w:val="en-US" w:eastAsia="zh-CN"/>
        </w:rPr>
        <w:t>服务产业和服务环节</w:t>
      </w:r>
    </w:p>
    <w:p w14:paraId="15B2275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lang w:val="en-US" w:eastAsia="zh-CN"/>
        </w:rPr>
        <w:t>计</w:t>
      </w:r>
      <w:r>
        <w:rPr>
          <w:rFonts w:hint="default" w:ascii="Times New Roman" w:hAnsi="Times New Roman" w:eastAsia="方正仿宋_GBK" w:cs="Times New Roman"/>
          <w:sz w:val="32"/>
          <w:szCs w:val="32"/>
          <w:lang w:val="en-US" w:eastAsia="zh-CN"/>
        </w:rPr>
        <w:t>划开展小麦耕、种、防、收全程托管面积不少于</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sz w:val="32"/>
          <w:szCs w:val="32"/>
          <w:lang w:val="en-US" w:eastAsia="zh-CN"/>
        </w:rPr>
        <w:t>亩；</w:t>
      </w:r>
      <w:r>
        <w:rPr>
          <w:rFonts w:hint="eastAsia" w:ascii="Times New Roman" w:hAnsi="Times New Roman" w:eastAsia="方正仿宋_GBK" w:cs="Times New Roman"/>
          <w:sz w:val="32"/>
          <w:szCs w:val="32"/>
          <w:highlight w:val="none"/>
          <w:lang w:val="en-US" w:eastAsia="zh-CN"/>
        </w:rPr>
        <w:t>最终补助面积以项目主管部门验收核定后的面积为准。</w:t>
      </w:r>
    </w:p>
    <w:p w14:paraId="7301B76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default"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w:t>
      </w:r>
      <w:r>
        <w:rPr>
          <w:rFonts w:hint="default" w:ascii="方正楷体_GBK" w:hAnsi="方正楷体_GBK" w:eastAsia="方正楷体_GBK" w:cs="方正楷体_GBK"/>
          <w:b w:val="0"/>
          <w:bCs w:val="0"/>
          <w:sz w:val="32"/>
          <w:szCs w:val="32"/>
          <w:lang w:val="en-US" w:eastAsia="zh-CN"/>
        </w:rPr>
        <w:t>补助标准和补助方式</w:t>
      </w:r>
    </w:p>
    <w:p w14:paraId="102F9FB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default" w:ascii="Times New Roman" w:hAnsi="Times New Roman" w:eastAsia="方正仿宋_GBK" w:cs="Times New Roman"/>
          <w:b w:val="0"/>
          <w:bCs w:val="0"/>
          <w:color w:val="auto"/>
          <w:spacing w:val="0"/>
          <w:kern w:val="21"/>
          <w:sz w:val="32"/>
          <w:szCs w:val="32"/>
          <w:highlight w:val="none"/>
          <w:lang w:val="en-US" w:eastAsia="zh-CN"/>
        </w:rPr>
      </w:pPr>
      <w:r>
        <w:rPr>
          <w:rFonts w:hint="default" w:ascii="Times New Roman" w:hAnsi="Times New Roman" w:eastAsia="方正仿宋_GBK" w:cs="Times New Roman"/>
          <w:b/>
          <w:bCs/>
          <w:sz w:val="32"/>
          <w:szCs w:val="32"/>
          <w:lang w:val="en-US" w:eastAsia="zh-CN"/>
        </w:rPr>
        <w:t>1.补助标准。</w:t>
      </w:r>
      <w:r>
        <w:rPr>
          <w:rFonts w:hint="default" w:ascii="Times New Roman" w:hAnsi="Times New Roman" w:eastAsia="方正仿宋_GBK" w:cs="Times New Roman"/>
          <w:sz w:val="32"/>
          <w:szCs w:val="32"/>
          <w:lang w:val="en-US" w:eastAsia="zh-CN"/>
        </w:rPr>
        <w:t>根据《</w:t>
      </w:r>
      <w:r>
        <w:rPr>
          <w:rFonts w:hint="eastAsia" w:ascii="Times New Roman" w:hAnsi="Times New Roman" w:eastAsia="方正仿宋_GBK" w:cs="Times New Roman"/>
          <w:sz w:val="32"/>
          <w:szCs w:val="32"/>
          <w:lang w:val="en-US" w:eastAsia="zh-CN"/>
        </w:rPr>
        <w:t>轮台县</w:t>
      </w:r>
      <w:r>
        <w:rPr>
          <w:rFonts w:hint="default" w:ascii="Times New Roman" w:hAnsi="Times New Roman" w:eastAsia="方正仿宋_GBK" w:cs="Times New Roman"/>
          <w:sz w:val="32"/>
          <w:szCs w:val="32"/>
          <w:lang w:val="en-US" w:eastAsia="zh-CN"/>
        </w:rPr>
        <w:t>2024年农业经营主体能力提升（农业社会化服务）项目实施方案》相关要求，财政补助占服务价格的比例不超过30%，同一地块同一作物的服务不得重复享受财政补贴。小麦全程托管服务</w:t>
      </w:r>
      <w:r>
        <w:rPr>
          <w:rFonts w:hint="eastAsia" w:ascii="Times New Roman" w:hAnsi="Times New Roman" w:eastAsia="方正仿宋_GBK" w:cs="Times New Roman"/>
          <w:sz w:val="32"/>
          <w:szCs w:val="32"/>
          <w:lang w:val="en-US" w:eastAsia="zh-CN"/>
        </w:rPr>
        <w:t>补助</w:t>
      </w:r>
      <w:r>
        <w:rPr>
          <w:rFonts w:hint="default" w:ascii="Times New Roman" w:hAnsi="Times New Roman" w:eastAsia="方正仿宋_GBK" w:cs="Times New Roman"/>
          <w:sz w:val="32"/>
          <w:szCs w:val="32"/>
          <w:lang w:val="en-US" w:eastAsia="zh-CN"/>
        </w:rPr>
        <w:t>标准为：小农户</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sz w:val="32"/>
          <w:szCs w:val="32"/>
          <w:lang w:val="en-US" w:eastAsia="zh-CN"/>
        </w:rPr>
        <w:t>元/亩、大户</w:t>
      </w:r>
      <w:r>
        <w:rPr>
          <w:rFonts w:hint="eastAsia" w:ascii="方正仿宋_GBK" w:hAnsi="方正仿宋_GBK" w:eastAsia="方正仿宋_GBK" w:cs="方正仿宋_GBK"/>
          <w:b/>
          <w:bCs/>
          <w:color w:val="000000"/>
          <w:sz w:val="32"/>
          <w:szCs w:val="32"/>
          <w:lang w:val="en-US" w:eastAsia="zh-CN"/>
        </w:rPr>
        <w:t>XX</w:t>
      </w:r>
      <w:r>
        <w:rPr>
          <w:rFonts w:hint="default" w:ascii="Times New Roman" w:hAnsi="Times New Roman" w:eastAsia="方正仿宋_GBK" w:cs="Times New Roman"/>
          <w:sz w:val="32"/>
          <w:szCs w:val="32"/>
          <w:lang w:val="en-US" w:eastAsia="zh-CN"/>
        </w:rPr>
        <w:t>元/亩。</w:t>
      </w:r>
      <w:r>
        <w:rPr>
          <w:rFonts w:hint="eastAsia" w:ascii="Times New Roman" w:hAnsi="Times New Roman" w:eastAsia="方正仿宋_GBK" w:cs="Times New Roman"/>
          <w:sz w:val="32"/>
          <w:szCs w:val="32"/>
          <w:lang w:val="en-US" w:eastAsia="zh-CN"/>
        </w:rPr>
        <w:t>合作社</w:t>
      </w:r>
      <w:r>
        <w:rPr>
          <w:rFonts w:hint="default" w:ascii="Times New Roman" w:hAnsi="Times New Roman" w:eastAsia="方正仿宋_GBK" w:cs="Times New Roman"/>
          <w:b w:val="0"/>
          <w:bCs w:val="0"/>
          <w:color w:val="auto"/>
          <w:spacing w:val="0"/>
          <w:kern w:val="21"/>
          <w:sz w:val="32"/>
          <w:szCs w:val="32"/>
          <w:highlight w:val="none"/>
          <w:lang w:val="en-US" w:eastAsia="zh-CN"/>
        </w:rPr>
        <w:t>安排服务</w:t>
      </w:r>
      <w:r>
        <w:rPr>
          <w:rFonts w:hint="eastAsia" w:ascii="方正仿宋_GBK" w:hAnsi="方正仿宋_GBK" w:eastAsia="方正仿宋_GBK" w:cs="方正仿宋_GBK"/>
          <w:b/>
          <w:bCs/>
          <w:color w:val="000000"/>
          <w:sz w:val="32"/>
          <w:szCs w:val="32"/>
          <w:lang w:val="en-US" w:eastAsia="zh-CN"/>
        </w:rPr>
        <w:t>XX</w:t>
      </w:r>
      <w:r>
        <w:rPr>
          <w:rFonts w:hint="eastAsia" w:ascii="Times New Roman" w:hAnsi="Times New Roman" w:eastAsia="方正仿宋_GBK" w:cs="Times New Roman"/>
          <w:b w:val="0"/>
          <w:bCs w:val="0"/>
          <w:color w:val="auto"/>
          <w:spacing w:val="0"/>
          <w:kern w:val="21"/>
          <w:sz w:val="32"/>
          <w:szCs w:val="32"/>
          <w:highlight w:val="none"/>
          <w:lang w:val="en-US" w:eastAsia="zh-CN"/>
        </w:rPr>
        <w:t>亩以下</w:t>
      </w:r>
      <w:r>
        <w:rPr>
          <w:rFonts w:hint="default" w:ascii="Times New Roman" w:hAnsi="Times New Roman" w:eastAsia="方正仿宋_GBK" w:cs="Times New Roman"/>
          <w:b w:val="0"/>
          <w:bCs w:val="0"/>
          <w:color w:val="auto"/>
          <w:spacing w:val="0"/>
          <w:kern w:val="21"/>
          <w:sz w:val="32"/>
          <w:szCs w:val="32"/>
          <w:highlight w:val="none"/>
          <w:lang w:val="en-US" w:eastAsia="zh-CN"/>
        </w:rPr>
        <w:t>小农户的补助资金或面积占比</w:t>
      </w:r>
      <w:r>
        <w:rPr>
          <w:rFonts w:hint="eastAsia" w:ascii="Times New Roman" w:hAnsi="Times New Roman" w:eastAsia="方正仿宋_GBK" w:cs="Times New Roman"/>
          <w:b w:val="0"/>
          <w:bCs w:val="0"/>
          <w:color w:val="auto"/>
          <w:spacing w:val="0"/>
          <w:kern w:val="21"/>
          <w:sz w:val="32"/>
          <w:szCs w:val="32"/>
          <w:highlight w:val="none"/>
          <w:lang w:val="en-US" w:eastAsia="zh-CN"/>
        </w:rPr>
        <w:t>要</w:t>
      </w:r>
      <w:r>
        <w:rPr>
          <w:rFonts w:hint="default" w:ascii="Times New Roman" w:hAnsi="Times New Roman" w:eastAsia="方正仿宋_GBK" w:cs="Times New Roman"/>
          <w:b w:val="0"/>
          <w:bCs w:val="0"/>
          <w:color w:val="auto"/>
          <w:spacing w:val="0"/>
          <w:kern w:val="21"/>
          <w:sz w:val="32"/>
          <w:szCs w:val="32"/>
          <w:highlight w:val="none"/>
          <w:lang w:val="en-US" w:eastAsia="zh-CN"/>
        </w:rPr>
        <w:t>高于60%。</w:t>
      </w:r>
    </w:p>
    <w:p w14:paraId="3D6345E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2.补助方式</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坚持以小农户受益确定补助方式，采取先</w:t>
      </w:r>
      <w:bookmarkStart w:id="0" w:name="_GoBack"/>
      <w:bookmarkEnd w:id="0"/>
      <w:r>
        <w:rPr>
          <w:rFonts w:hint="default" w:ascii="Times New Roman" w:hAnsi="Times New Roman" w:eastAsia="方正仿宋_GBK" w:cs="Times New Roman"/>
          <w:sz w:val="32"/>
          <w:szCs w:val="32"/>
          <w:lang w:val="en-US" w:eastAsia="zh-CN"/>
        </w:rPr>
        <w:t xml:space="preserve">服务后补助的方式进行。合作社按照双方协商价格全额向服务对象收取全部服务费，项目验收合格后，补助资金由财政直接拨付至农户。  </w:t>
      </w:r>
    </w:p>
    <w:p w14:paraId="343322F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（三）服务标准</w:t>
      </w:r>
    </w:p>
    <w:p w14:paraId="08149A6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lang w:val="en-US" w:eastAsia="zh-CN"/>
        </w:rPr>
      </w:pPr>
      <w:r>
        <w:rPr>
          <w:rFonts w:hint="default" w:ascii="Times New Roman" w:hAnsi="Times New Roman" w:eastAsia="方正仿宋_GBK" w:cs="Times New Roman"/>
          <w:sz w:val="32"/>
          <w:szCs w:val="32"/>
          <w:lang w:val="en-US" w:eastAsia="zh-CN"/>
        </w:rPr>
        <w:t>小麦耕、种、防、收托管符合技术和相应服务规范，确保田间基本无杂草、无</w:t>
      </w:r>
      <w:r>
        <w:rPr>
          <w:rFonts w:hint="eastAsia" w:ascii="Times New Roman" w:hAnsi="Times New Roman" w:eastAsia="方正仿宋_GBK" w:cs="Times New Roman"/>
          <w:sz w:val="32"/>
          <w:szCs w:val="32"/>
          <w:lang w:val="en-US" w:eastAsia="zh-CN"/>
        </w:rPr>
        <w:t>大面积</w:t>
      </w:r>
      <w:r>
        <w:rPr>
          <w:rFonts w:hint="default" w:ascii="Times New Roman" w:hAnsi="Times New Roman" w:eastAsia="方正仿宋_GBK" w:cs="Times New Roman"/>
          <w:sz w:val="32"/>
          <w:szCs w:val="32"/>
          <w:lang w:val="en-US" w:eastAsia="zh-CN"/>
        </w:rPr>
        <w:t>病虫等现象，植株长势良好，</w:t>
      </w:r>
      <w:r>
        <w:rPr>
          <w:rFonts w:hint="eastAsia" w:ascii="Times New Roman" w:hAnsi="Times New Roman" w:eastAsia="方正仿宋_GBK" w:cs="Times New Roman"/>
          <w:sz w:val="32"/>
          <w:szCs w:val="32"/>
          <w:lang w:val="en-US" w:eastAsia="zh-CN"/>
        </w:rPr>
        <w:t>不低于</w:t>
      </w:r>
      <w:r>
        <w:rPr>
          <w:rFonts w:hint="default" w:ascii="Times New Roman" w:hAnsi="Times New Roman" w:eastAsia="方正仿宋_GBK" w:cs="Times New Roman"/>
          <w:sz w:val="32"/>
          <w:szCs w:val="32"/>
          <w:lang w:val="en-US" w:eastAsia="zh-CN"/>
        </w:rPr>
        <w:t>正常产量水平。</w:t>
      </w:r>
      <w:r>
        <w:rPr>
          <w:rFonts w:hint="eastAsia" w:ascii="Times New Roman" w:hAnsi="Times New Roman" w:eastAsia="方正仿宋_GBK" w:cs="Times New Roman"/>
          <w:sz w:val="32"/>
          <w:szCs w:val="32"/>
          <w:lang w:val="en-US" w:eastAsia="zh-CN"/>
        </w:rPr>
        <w:t>详细服务标准指引</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见附件</w:t>
      </w:r>
      <w:r>
        <w:rPr>
          <w:rFonts w:hint="eastAsia" w:ascii="方正仿宋_GBK" w:hAnsi="方正仿宋_GBK" w:eastAsia="方正仿宋_GBK" w:cs="方正仿宋_GBK"/>
          <w:b w:val="0"/>
          <w:i w:val="0"/>
          <w:caps w:val="0"/>
          <w:color w:val="auto"/>
          <w:spacing w:val="0"/>
          <w:w w:val="100"/>
          <w:sz w:val="32"/>
          <w:szCs w:val="32"/>
          <w:highlight w:val="none"/>
          <w:lang w:val="en-US" w:eastAsia="zh-CN"/>
        </w:rPr>
        <w:t>。</w:t>
      </w:r>
    </w:p>
    <w:p w14:paraId="216E10A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黑体_GBK" w:hAnsi="方正黑体_GBK" w:eastAsia="方正黑体_GBK" w:cs="方正黑体_GBK"/>
          <w:b w:val="0"/>
          <w:bCs w:val="0"/>
          <w:color w:val="auto"/>
          <w:spacing w:val="0"/>
          <w:kern w:val="2"/>
          <w:sz w:val="32"/>
          <w:szCs w:val="32"/>
          <w:highlight w:val="none"/>
          <w:lang w:val="en-US" w:eastAsia="zh-CN" w:bidi="ar-SA"/>
        </w:rPr>
      </w:pPr>
      <w:r>
        <w:rPr>
          <w:rFonts w:hint="eastAsia" w:ascii="方正黑体_GBK" w:hAnsi="方正黑体_GBK" w:eastAsia="方正黑体_GBK" w:cs="方正黑体_GBK"/>
          <w:b w:val="0"/>
          <w:bCs w:val="0"/>
          <w:color w:val="auto"/>
          <w:spacing w:val="0"/>
          <w:kern w:val="2"/>
          <w:sz w:val="32"/>
          <w:szCs w:val="32"/>
          <w:highlight w:val="none"/>
          <w:lang w:val="en-US" w:eastAsia="zh-CN" w:bidi="ar-SA"/>
        </w:rPr>
        <w:t>四、项目实施流程</w:t>
      </w:r>
    </w:p>
    <w:p w14:paraId="7CC9CD2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val="0"/>
          <w:bCs w:val="0"/>
          <w:color w:val="auto"/>
          <w:spacing w:val="0"/>
          <w:kern w:val="2"/>
          <w:sz w:val="32"/>
          <w:szCs w:val="32"/>
          <w:highlight w:val="none"/>
          <w:lang w:val="en-US" w:eastAsia="zh-CN" w:bidi="ar-SA"/>
        </w:rPr>
        <w:t>项目严格按照自治区、轮台县农业社会化服务项目管理规定，全程接受轮台县农业农村局（农经局）监督指导。</w:t>
      </w:r>
    </w:p>
    <w:p w14:paraId="0A06DCE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楷体_GBK" w:hAnsi="方正楷体_GBK" w:eastAsia="方正楷体_GBK" w:cs="方正楷体_GBK"/>
          <w:b/>
          <w:bCs/>
          <w:color w:val="auto"/>
          <w:spacing w:val="0"/>
          <w:kern w:val="2"/>
          <w:sz w:val="32"/>
          <w:szCs w:val="32"/>
          <w:highlight w:val="none"/>
          <w:lang w:val="en-US" w:eastAsia="zh-CN" w:bidi="ar-SA"/>
        </w:rPr>
      </w:pPr>
      <w:r>
        <w:rPr>
          <w:rFonts w:hint="eastAsia" w:ascii="方正楷体_GBK" w:hAnsi="方正楷体_GBK" w:eastAsia="方正楷体_GBK" w:cs="方正楷体_GBK"/>
          <w:b/>
          <w:bCs/>
          <w:color w:val="auto"/>
          <w:spacing w:val="0"/>
          <w:kern w:val="2"/>
          <w:sz w:val="32"/>
          <w:szCs w:val="32"/>
          <w:highlight w:val="none"/>
          <w:lang w:val="en-US" w:eastAsia="zh-CN" w:bidi="ar-SA"/>
        </w:rPr>
        <w:t>（一）服务对象摸排与合同签订</w:t>
      </w:r>
    </w:p>
    <w:p w14:paraId="441C0A9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1.摸排建档：</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合作社提前摸排小农户生产需求，优先登记种植面积小、劳动力不足、缺乏农机设备的农户，汇总形成拟服务农户清单，报送轮台县农经局备案，确定本年度小麦托管服务对象。</w:t>
      </w:r>
    </w:p>
    <w:p w14:paraId="1BEA571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2.规范签约：</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统一使用轮台县农业农村局印发的农业生产托管标准示范合同，由合作社（乙方）与农户（甲方）逐户签订书面托管服务合同，严禁口头协议。</w:t>
      </w:r>
    </w:p>
    <w:p w14:paraId="6AA5452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3.合同必备条款：</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合同中清晰载明服务地块位置、实际托管面积、全程托管内容（耕、种、防、收）、各环节作业时限、小麦托管作业质量标准、双方权责、服务费用标准、付款方式、违约责任、争议解决途径。</w:t>
      </w:r>
    </w:p>
    <w:p w14:paraId="2CC1C4D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4.合同报备：</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全部合同签订完成后 3 个工作日内，将合同复印件统一报送轮台县农经局存档备查。</w:t>
      </w:r>
    </w:p>
    <w:p w14:paraId="4435949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楷体_GBK" w:hAnsi="方正楷体_GBK" w:eastAsia="方正楷体_GBK" w:cs="方正楷体_GBK"/>
          <w:b/>
          <w:bCs/>
          <w:color w:val="auto"/>
          <w:spacing w:val="0"/>
          <w:kern w:val="2"/>
          <w:sz w:val="32"/>
          <w:szCs w:val="32"/>
          <w:highlight w:val="none"/>
          <w:lang w:val="en-US" w:eastAsia="zh-CN" w:bidi="ar-SA"/>
        </w:rPr>
      </w:pPr>
      <w:r>
        <w:rPr>
          <w:rFonts w:hint="eastAsia" w:ascii="方正楷体_GBK" w:hAnsi="方正楷体_GBK" w:eastAsia="方正楷体_GBK" w:cs="方正楷体_GBK"/>
          <w:b/>
          <w:bCs/>
          <w:color w:val="auto"/>
          <w:spacing w:val="0"/>
          <w:kern w:val="2"/>
          <w:sz w:val="32"/>
          <w:szCs w:val="32"/>
          <w:highlight w:val="none"/>
          <w:lang w:val="en-US" w:eastAsia="zh-CN" w:bidi="ar-SA"/>
        </w:rPr>
        <w:t>（二）作业前期筹备与公示告知</w:t>
      </w:r>
    </w:p>
    <w:p w14:paraId="0E2F4C2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1.机具检修调配：</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项目实施前完成拖拉机、播种机、植保无人机、小麦联合收割机等全部农机检修、保养、校准，北斗导航设备调试到位，配齐持证农机操作人员。</w:t>
      </w:r>
    </w:p>
    <w:p w14:paraId="499C52E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2.技术交底培训：</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组织农机手、现场管理人员开展小麦托管作业标准培训，对照《轮台县农业生产托管服务标准指引（小麦）》明确耕整地、播种、植保、收割各环节技术参数、质量要求、农时期限；同步讲解作业确认单填写规范。</w:t>
      </w:r>
    </w:p>
    <w:p w14:paraId="4A9A170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3.项目公示：</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在合作社办公点、各村组公示栏张贴项目公示，公示内容包含项目名称、服务总面积、服务农户名单、各环节作业标准、监督举报电话，公示期不少于 5 个工作日，主动接受农户与主管部门监督。</w:t>
      </w:r>
    </w:p>
    <w:p w14:paraId="55BC99A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楷体_GBK" w:hAnsi="方正楷体_GBK" w:eastAsia="方正楷体_GBK" w:cs="方正楷体_GBK"/>
          <w:b w:val="0"/>
          <w:bCs w:val="0"/>
          <w:color w:val="auto"/>
          <w:spacing w:val="0"/>
          <w:kern w:val="2"/>
          <w:sz w:val="32"/>
          <w:szCs w:val="32"/>
          <w:highlight w:val="none"/>
          <w:lang w:val="en-US" w:eastAsia="zh-CN" w:bidi="ar-SA"/>
        </w:rPr>
      </w:pPr>
      <w:r>
        <w:rPr>
          <w:rFonts w:hint="eastAsia" w:ascii="方正楷体_GBK" w:hAnsi="方正楷体_GBK" w:eastAsia="方正楷体_GBK" w:cs="方正楷体_GBK"/>
          <w:b w:val="0"/>
          <w:bCs w:val="0"/>
          <w:color w:val="auto"/>
          <w:spacing w:val="0"/>
          <w:kern w:val="2"/>
          <w:sz w:val="32"/>
          <w:szCs w:val="32"/>
          <w:highlight w:val="none"/>
          <w:lang w:val="en-US" w:eastAsia="zh-CN" w:bidi="ar-SA"/>
        </w:rPr>
        <w:t>（三）分环节组织农机作业与现场管控</w:t>
      </w:r>
    </w:p>
    <w:p w14:paraId="4767675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val="0"/>
          <w:bCs w:val="0"/>
          <w:color w:val="auto"/>
          <w:spacing w:val="0"/>
          <w:kern w:val="2"/>
          <w:sz w:val="32"/>
          <w:szCs w:val="32"/>
          <w:highlight w:val="none"/>
          <w:lang w:val="en-US" w:eastAsia="zh-CN" w:bidi="ar-SA"/>
        </w:rPr>
        <w:t>严格按照小麦对应农时窗口分阶段开展全程托管作业，安排专人全程跟班现场管理：</w:t>
      </w:r>
    </w:p>
    <w:p w14:paraId="324C80A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1.耕整地环节：</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严格遵守春麦/冬麦耕整地时限，把控犁地深度、整地平整度、残膜杂草清理标准，作业时做到不漏耕、不重耕、地头地边规整；</w:t>
      </w:r>
    </w:p>
    <w:p w14:paraId="1A02A4E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2.播种环节：</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使用北斗导航播种设备，管控行距、播种深度、下种均匀度、覆土镇压效果，杜绝重播、漏播、浮籽；</w:t>
      </w:r>
    </w:p>
    <w:p w14:paraId="4AB0AF9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3.植保防治环节：</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根据小麦病害虫发生周期，按标准药剂配比、无人机飞行参数开展统防统治，避开高温、大风、降雨天气作业，做好农药采购、领用、喷施记录；</w:t>
      </w:r>
    </w:p>
    <w:p w14:paraId="191F7E8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4.小麦收获环节：</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成熟期集中开展收割作业，严控籽粒损失率、破碎率、留茬高度，收割后秸秆均匀抛撒，减少农户后期处理负担。</w:t>
      </w:r>
    </w:p>
    <w:p w14:paraId="37DD6EC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val="0"/>
          <w:bCs w:val="0"/>
          <w:color w:val="auto"/>
          <w:spacing w:val="0"/>
          <w:kern w:val="2"/>
          <w:sz w:val="32"/>
          <w:szCs w:val="32"/>
          <w:highlight w:val="none"/>
          <w:lang w:val="en-US" w:eastAsia="zh-CN" w:bidi="ar-SA"/>
        </w:rPr>
        <w:t>作业过程中若遇极端天气、地块土壤墒情异常等特殊情况无法按期施工，合作社第一时间告知农户，并同步向市农经局报备调整作业时间。</w:t>
      </w:r>
    </w:p>
    <w:p w14:paraId="7E2E05D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楷体_GBK" w:hAnsi="方正楷体_GBK" w:eastAsia="方正楷体_GBK" w:cs="方正楷体_GBK"/>
          <w:b w:val="0"/>
          <w:bCs w:val="0"/>
          <w:color w:val="auto"/>
          <w:spacing w:val="0"/>
          <w:kern w:val="2"/>
          <w:sz w:val="32"/>
          <w:szCs w:val="32"/>
          <w:highlight w:val="none"/>
          <w:lang w:val="en-US" w:eastAsia="zh-CN" w:bidi="ar-SA"/>
        </w:rPr>
      </w:pPr>
      <w:r>
        <w:rPr>
          <w:rFonts w:hint="eastAsia" w:ascii="方正楷体_GBK" w:hAnsi="方正楷体_GBK" w:eastAsia="方正楷体_GBK" w:cs="方正楷体_GBK"/>
          <w:b w:val="0"/>
          <w:bCs w:val="0"/>
          <w:color w:val="auto"/>
          <w:spacing w:val="0"/>
          <w:kern w:val="2"/>
          <w:sz w:val="32"/>
          <w:szCs w:val="32"/>
          <w:highlight w:val="none"/>
          <w:lang w:val="en-US" w:eastAsia="zh-CN" w:bidi="ar-SA"/>
        </w:rPr>
        <w:t>（四）建立全套服务台账，逐环节签字确认</w:t>
      </w:r>
    </w:p>
    <w:p w14:paraId="75ADE21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1.一户一档台账：</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为农户单独建立服务台账，台账包含农户身份证复印件、一卡通复印件、地块照片、各环节作业影像资料、作业确认单、费用结算单据。</w:t>
      </w:r>
    </w:p>
    <w:p w14:paraId="46AB714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2.作业现场确认：</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每完成耕、种、植保、收割任意一个作业环节，当日现场填写《农业社会化服务作业确认单》，完整记录地块、面积、作业日期、机械编号、作业内容、作业质量情况，农机手、农户共同签字按手印，缺一不可；农户不在现场的，提前约定现场见证人员，杜绝代签、补签。</w:t>
      </w:r>
    </w:p>
    <w:p w14:paraId="03CC727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楷体_GBK" w:hAnsi="方正楷体_GBK" w:eastAsia="方正楷体_GBK" w:cs="方正楷体_GBK"/>
          <w:b w:val="0"/>
          <w:bCs w:val="0"/>
          <w:color w:val="auto"/>
          <w:spacing w:val="0"/>
          <w:kern w:val="2"/>
          <w:sz w:val="32"/>
          <w:szCs w:val="32"/>
          <w:highlight w:val="none"/>
          <w:lang w:val="en-US" w:eastAsia="zh-CN" w:bidi="ar-SA"/>
        </w:rPr>
      </w:pPr>
      <w:r>
        <w:rPr>
          <w:rFonts w:hint="eastAsia" w:ascii="方正楷体_GBK" w:hAnsi="方正楷体_GBK" w:eastAsia="方正楷体_GBK" w:cs="方正楷体_GBK"/>
          <w:b w:val="0"/>
          <w:bCs w:val="0"/>
          <w:color w:val="auto"/>
          <w:spacing w:val="0"/>
          <w:kern w:val="2"/>
          <w:sz w:val="32"/>
          <w:szCs w:val="32"/>
          <w:highlight w:val="none"/>
          <w:lang w:val="en-US" w:eastAsia="zh-CN" w:bidi="ar-SA"/>
        </w:rPr>
        <w:t>（五）项目完工自查与主管部门验收</w:t>
      </w:r>
    </w:p>
    <w:p w14:paraId="70696C1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1.合作社自查：</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全部托管地块所有作业环节完工后，合作社开展全面自查，核对台账、确认单、影像资料完整性，实地抽查地块作业质量，自查合格后向轮台县农经局提交项目验收申请。</w:t>
      </w:r>
    </w:p>
    <w:p w14:paraId="15BDA4A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2.实地验收：</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按照农经局验收方案的要求对托管地块实地核查，核对实际服务面积、作业完成情况、农户签字确认材料、作业质量是否符合标准；现场走访农户核实服务真实性、满意度；配合市农经局的验收工作，对验收发现的问题及时整改到位。</w:t>
      </w:r>
    </w:p>
    <w:p w14:paraId="00FAD2A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楷体_GBK" w:hAnsi="方正楷体_GBK" w:eastAsia="方正楷体_GBK" w:cs="方正楷体_GBK"/>
          <w:b w:val="0"/>
          <w:bCs w:val="0"/>
          <w:color w:val="auto"/>
          <w:spacing w:val="0"/>
          <w:kern w:val="2"/>
          <w:sz w:val="32"/>
          <w:szCs w:val="32"/>
          <w:highlight w:val="none"/>
          <w:lang w:val="en-US" w:eastAsia="zh-CN" w:bidi="ar-SA"/>
        </w:rPr>
      </w:pPr>
      <w:r>
        <w:rPr>
          <w:rFonts w:hint="eastAsia" w:ascii="方正楷体_GBK" w:hAnsi="方正楷体_GBK" w:eastAsia="方正楷体_GBK" w:cs="方正楷体_GBK"/>
          <w:b w:val="0"/>
          <w:bCs w:val="0"/>
          <w:color w:val="auto"/>
          <w:spacing w:val="0"/>
          <w:kern w:val="2"/>
          <w:sz w:val="32"/>
          <w:szCs w:val="32"/>
          <w:highlight w:val="none"/>
          <w:lang w:val="en-US" w:eastAsia="zh-CN" w:bidi="ar-SA"/>
        </w:rPr>
        <w:t>（六）档案归档、资料上报与费用兑付</w:t>
      </w:r>
    </w:p>
    <w:p w14:paraId="0D53D22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1.资料上报：</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将验收材料、全套档案复印件报送轮台县农业农村局完成项目备案。</w:t>
      </w:r>
    </w:p>
    <w:p w14:paraId="1559F4A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bCs/>
          <w:color w:val="auto"/>
          <w:spacing w:val="0"/>
          <w:kern w:val="2"/>
          <w:sz w:val="32"/>
          <w:szCs w:val="32"/>
          <w:highlight w:val="none"/>
          <w:lang w:val="en-US" w:eastAsia="zh-CN" w:bidi="ar-SA"/>
        </w:rPr>
        <w:t>2.服务费用结算兑付：</w:t>
      </w:r>
      <w:r>
        <w:rPr>
          <w:rFonts w:hint="eastAsia" w:ascii="方正仿宋_GBK" w:hAnsi="方正仿宋_GBK" w:eastAsia="方正仿宋_GBK" w:cs="方正仿宋_GBK"/>
          <w:b w:val="0"/>
          <w:bCs w:val="0"/>
          <w:color w:val="auto"/>
          <w:spacing w:val="0"/>
          <w:kern w:val="2"/>
          <w:sz w:val="32"/>
          <w:szCs w:val="32"/>
          <w:highlight w:val="none"/>
          <w:lang w:val="en-US" w:eastAsia="zh-CN" w:bidi="ar-SA"/>
        </w:rPr>
        <w:t>依据验收合格面积、合同约定标准核算服务费用，规范开具票据，按约定周期与农户结算。</w:t>
      </w:r>
    </w:p>
    <w:p w14:paraId="3FAEDA9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楷体_GBK" w:hAnsi="方正楷体_GBK" w:eastAsia="方正楷体_GBK" w:cs="方正楷体_GBK"/>
          <w:b w:val="0"/>
          <w:bCs w:val="0"/>
          <w:color w:val="auto"/>
          <w:spacing w:val="0"/>
          <w:kern w:val="2"/>
          <w:sz w:val="32"/>
          <w:szCs w:val="32"/>
          <w:highlight w:val="none"/>
          <w:lang w:val="en-US" w:eastAsia="zh-CN" w:bidi="ar-SA"/>
        </w:rPr>
      </w:pPr>
      <w:r>
        <w:rPr>
          <w:rFonts w:hint="eastAsia" w:ascii="方正楷体_GBK" w:hAnsi="方正楷体_GBK" w:eastAsia="方正楷体_GBK" w:cs="方正楷体_GBK"/>
          <w:b w:val="0"/>
          <w:bCs w:val="0"/>
          <w:color w:val="auto"/>
          <w:spacing w:val="0"/>
          <w:kern w:val="2"/>
          <w:sz w:val="32"/>
          <w:szCs w:val="32"/>
          <w:highlight w:val="none"/>
          <w:lang w:val="en-US" w:eastAsia="zh-CN" w:bidi="ar-SA"/>
        </w:rPr>
        <w:t>（七）监督管理</w:t>
      </w:r>
    </w:p>
    <w:p w14:paraId="47DAEC8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val="0"/>
          <w:bCs w:val="0"/>
          <w:color w:val="auto"/>
          <w:spacing w:val="0"/>
          <w:kern w:val="2"/>
          <w:sz w:val="32"/>
          <w:szCs w:val="32"/>
          <w:highlight w:val="none"/>
          <w:lang w:val="en-US" w:eastAsia="zh-CN" w:bidi="ar-SA"/>
        </w:rPr>
        <w:t>轮台县农经局全程对项目实施全过程监督检查，不定期开展现场抽查；合作社主动配合主管部门调阅台账、实地核查、走访农户，对检查发现的问题立即整改，确保项目规范落地、政策执行到位。</w:t>
      </w:r>
    </w:p>
    <w:p w14:paraId="06BB0BD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方正仿宋_GBK" w:hAnsi="方正仿宋_GBK" w:eastAsia="方正仿宋_GBK" w:cs="方正仿宋_GBK"/>
          <w:b w:val="0"/>
          <w:bCs w:val="0"/>
          <w:color w:val="auto"/>
          <w:spacing w:val="0"/>
          <w:kern w:val="2"/>
          <w:sz w:val="32"/>
          <w:szCs w:val="32"/>
          <w:highlight w:val="none"/>
          <w:lang w:val="en-US" w:eastAsia="zh-CN" w:bidi="ar-SA"/>
        </w:rPr>
      </w:pPr>
      <w:r>
        <w:rPr>
          <w:rFonts w:hint="eastAsia" w:ascii="方正仿宋_GBK" w:hAnsi="方正仿宋_GBK" w:eastAsia="方正仿宋_GBK" w:cs="方正仿宋_GBK"/>
          <w:b w:val="0"/>
          <w:bCs w:val="0"/>
          <w:color w:val="auto"/>
          <w:spacing w:val="0"/>
          <w:kern w:val="2"/>
          <w:sz w:val="32"/>
          <w:szCs w:val="32"/>
          <w:highlight w:val="none"/>
          <w:lang w:val="en-US" w:eastAsia="zh-CN" w:bidi="ar-SA"/>
        </w:rPr>
        <w:t>附件：轮台县农业生产托管服务标准指引（小麦）</w:t>
      </w:r>
    </w:p>
    <w:p w14:paraId="76B1031A">
      <w:pPr>
        <w:pStyle w:val="2"/>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344653B1">
      <w:pPr>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0B584FCC">
      <w:pPr>
        <w:pStyle w:val="2"/>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033B1E07">
      <w:pPr>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0C21A97F">
      <w:pPr>
        <w:pStyle w:val="2"/>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7D378422">
      <w:pPr>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7D2BF674">
      <w:pPr>
        <w:pStyle w:val="2"/>
        <w:rPr>
          <w:rFonts w:hint="eastAsia" w:ascii="方正仿宋_GBK" w:hAnsi="方正仿宋_GBK" w:eastAsia="方正仿宋_GBK" w:cs="方正仿宋_GBK"/>
          <w:b w:val="0"/>
          <w:bCs w:val="0"/>
          <w:color w:val="auto"/>
          <w:spacing w:val="0"/>
          <w:kern w:val="2"/>
          <w:sz w:val="32"/>
          <w:szCs w:val="32"/>
          <w:highlight w:val="none"/>
          <w:lang w:val="en-US" w:eastAsia="zh-CN" w:bidi="ar-SA"/>
        </w:rPr>
      </w:pPr>
    </w:p>
    <w:p w14:paraId="563FC3CB">
      <w:pPr>
        <w:rPr>
          <w:rFonts w:hint="eastAsia" w:ascii="方正仿宋_GBK" w:hAnsi="方正仿宋_GBK" w:eastAsia="方正仿宋_GBK" w:cs="方正仿宋_GBK"/>
          <w:b w:val="0"/>
          <w:bCs w:val="0"/>
          <w:color w:val="auto"/>
          <w:spacing w:val="0"/>
          <w:kern w:val="2"/>
          <w:sz w:val="32"/>
          <w:szCs w:val="32"/>
          <w:highlight w:val="none"/>
          <w:lang w:val="en-US" w:eastAsia="zh-CN" w:bidi="ar-SA"/>
        </w:rPr>
        <w:sectPr>
          <w:footerReference r:id="rId3" w:type="default"/>
          <w:pgSz w:w="11906" w:h="16838"/>
          <w:pgMar w:top="1871" w:right="1531" w:bottom="1984" w:left="1531" w:header="851" w:footer="992" w:gutter="0"/>
          <w:cols w:space="0" w:num="1"/>
          <w:rtlGutter w:val="0"/>
          <w:docGrid w:type="lines" w:linePitch="312" w:charSpace="0"/>
        </w:sectPr>
      </w:pPr>
    </w:p>
    <w:p w14:paraId="27B591A3">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附件</w:t>
      </w:r>
    </w:p>
    <w:tbl>
      <w:tblPr>
        <w:tblStyle w:val="10"/>
        <w:tblW w:w="14270" w:type="dxa"/>
        <w:jc w:val="center"/>
        <w:shd w:val="clear" w:color="auto" w:fill="auto"/>
        <w:tblLayout w:type="fixed"/>
        <w:tblCellMar>
          <w:top w:w="0" w:type="dxa"/>
          <w:left w:w="0" w:type="dxa"/>
          <w:bottom w:w="0" w:type="dxa"/>
          <w:right w:w="0" w:type="dxa"/>
        </w:tblCellMar>
      </w:tblPr>
      <w:tblGrid>
        <w:gridCol w:w="1480"/>
        <w:gridCol w:w="1950"/>
        <w:gridCol w:w="6665"/>
        <w:gridCol w:w="4175"/>
      </w:tblGrid>
      <w:tr w14:paraId="5CDDA64B">
        <w:tblPrEx>
          <w:tblCellMar>
            <w:top w:w="0" w:type="dxa"/>
            <w:left w:w="0" w:type="dxa"/>
            <w:bottom w:w="0" w:type="dxa"/>
            <w:right w:w="0" w:type="dxa"/>
          </w:tblCellMar>
        </w:tblPrEx>
        <w:trPr>
          <w:trHeight w:val="23" w:hRule="atLeast"/>
          <w:tblHeader/>
          <w:jc w:val="center"/>
        </w:trPr>
        <w:tc>
          <w:tcPr>
            <w:tcW w:w="14270"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095CDB85">
            <w:pPr>
              <w:keepNext w:val="0"/>
              <w:keepLines w:val="0"/>
              <w:widowControl/>
              <w:suppressLineNumbers w:val="0"/>
              <w:jc w:val="center"/>
              <w:textAlignment w:val="center"/>
              <w:rPr>
                <w:rFonts w:hint="eastAsia" w:ascii="楷体_GB2312" w:hAnsi="楷体_GB2312" w:eastAsia="楷体_GB2312" w:cs="楷体_GB2312"/>
                <w:b/>
                <w:i w:val="0"/>
                <w:color w:val="000000"/>
                <w:sz w:val="44"/>
                <w:szCs w:val="44"/>
                <w:u w:val="none"/>
              </w:rPr>
            </w:pPr>
            <w:r>
              <w:rPr>
                <w:rFonts w:hint="eastAsia" w:ascii="楷体_GB2312" w:hAnsi="楷体_GB2312" w:eastAsia="楷体_GB2312" w:cs="楷体_GB2312"/>
                <w:b/>
                <w:i w:val="0"/>
                <w:color w:val="000000"/>
                <w:kern w:val="0"/>
                <w:sz w:val="44"/>
                <w:szCs w:val="44"/>
                <w:u w:val="none"/>
                <w:lang w:val="en-US" w:eastAsia="zh-CN" w:bidi="ar"/>
              </w:rPr>
              <w:t>轮台县农业生产托管服务标准指引（小麦）</w:t>
            </w:r>
          </w:p>
        </w:tc>
      </w:tr>
      <w:tr w14:paraId="38C94567">
        <w:tblPrEx>
          <w:shd w:val="clear" w:color="auto" w:fill="auto"/>
          <w:tblCellMar>
            <w:top w:w="0" w:type="dxa"/>
            <w:left w:w="0" w:type="dxa"/>
            <w:bottom w:w="0" w:type="dxa"/>
            <w:right w:w="0" w:type="dxa"/>
          </w:tblCellMar>
        </w:tblPrEx>
        <w:trPr>
          <w:trHeight w:val="483" w:hRule="atLeast"/>
          <w:tblHeader/>
          <w:jc w:val="center"/>
        </w:trPr>
        <w:tc>
          <w:tcPr>
            <w:tcW w:w="148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D4490">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托管服务事项</w:t>
            </w:r>
          </w:p>
        </w:tc>
        <w:tc>
          <w:tcPr>
            <w:tcW w:w="195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78823">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具体内容</w:t>
            </w:r>
          </w:p>
        </w:tc>
        <w:tc>
          <w:tcPr>
            <w:tcW w:w="666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A8405">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约定标准（由甲乙双方协商约定）</w:t>
            </w:r>
          </w:p>
        </w:tc>
        <w:tc>
          <w:tcPr>
            <w:tcW w:w="417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60411">
            <w:pPr>
              <w:keepNext w:val="0"/>
              <w:keepLines w:val="0"/>
              <w:widowControl/>
              <w:suppressLineNumbers w:val="0"/>
              <w:jc w:val="center"/>
              <w:textAlignment w:val="center"/>
              <w:rPr>
                <w:rFonts w:hint="eastAsia" w:ascii="黑体" w:hAnsi="黑体" w:eastAsia="黑体" w:cs="黑体"/>
                <w:b/>
                <w:bCs w:val="0"/>
                <w:i w:val="0"/>
                <w:color w:val="000000"/>
                <w:sz w:val="22"/>
                <w:szCs w:val="22"/>
                <w:u w:val="none"/>
              </w:rPr>
            </w:pPr>
            <w:r>
              <w:rPr>
                <w:rFonts w:hint="eastAsia" w:ascii="黑体" w:hAnsi="黑体" w:eastAsia="黑体" w:cs="黑体"/>
                <w:b/>
                <w:bCs w:val="0"/>
                <w:i w:val="0"/>
                <w:color w:val="000000"/>
                <w:kern w:val="0"/>
                <w:sz w:val="22"/>
                <w:szCs w:val="22"/>
                <w:u w:val="none"/>
                <w:lang w:val="en-US" w:eastAsia="zh-CN" w:bidi="ar"/>
              </w:rPr>
              <w:t>备注</w:t>
            </w:r>
          </w:p>
        </w:tc>
      </w:tr>
      <w:tr w14:paraId="0EA0355F">
        <w:tblPrEx>
          <w:tblCellMar>
            <w:top w:w="0" w:type="dxa"/>
            <w:left w:w="0" w:type="dxa"/>
            <w:bottom w:w="0" w:type="dxa"/>
            <w:right w:w="0" w:type="dxa"/>
          </w:tblCellMar>
        </w:tblPrEx>
        <w:trPr>
          <w:trHeight w:val="613" w:hRule="atLeast"/>
          <w:tblHeader/>
          <w:jc w:val="center"/>
        </w:trPr>
        <w:tc>
          <w:tcPr>
            <w:tcW w:w="148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39D08D30">
            <w:pPr>
              <w:jc w:val="center"/>
              <w:rPr>
                <w:rFonts w:hint="eastAsia" w:ascii="楷体_GB2312" w:hAnsi="楷体_GB2312" w:eastAsia="楷体_GB2312" w:cs="楷体_GB2312"/>
                <w:b/>
                <w:i w:val="0"/>
                <w:color w:val="000000"/>
                <w:sz w:val="22"/>
                <w:szCs w:val="22"/>
                <w:u w:val="none"/>
              </w:rPr>
            </w:pPr>
            <w:r>
              <w:rPr>
                <w:rFonts w:hint="eastAsia" w:ascii="楷体_GB2312" w:hAnsi="楷体_GB2312" w:eastAsia="楷体_GB2312" w:cs="楷体_GB2312"/>
                <w:b/>
                <w:i w:val="0"/>
                <w:color w:val="000000"/>
                <w:kern w:val="0"/>
                <w:sz w:val="22"/>
                <w:szCs w:val="22"/>
                <w:u w:val="none"/>
                <w:lang w:val="en-US" w:eastAsia="zh-CN" w:bidi="ar"/>
              </w:rPr>
              <w:t>耕整地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CBA9">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作业模式</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B9C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color w:val="000000"/>
                <w:kern w:val="0"/>
                <w:sz w:val="21"/>
                <w:szCs w:val="21"/>
                <w:lang w:val="en-US" w:eastAsia="zh-CN" w:bidi="ar"/>
              </w:rPr>
              <w:t>机耕、机耙</w:t>
            </w:r>
          </w:p>
        </w:tc>
        <w:tc>
          <w:tcPr>
            <w:tcW w:w="4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F84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根据当地耕作制度和生产实际，列出主要耕整地模式，如旋耕、深翻、深耕、免耕等方式。</w:t>
            </w:r>
          </w:p>
        </w:tc>
      </w:tr>
      <w:tr w14:paraId="7DA948FA">
        <w:tblPrEx>
          <w:tblCellMar>
            <w:top w:w="0" w:type="dxa"/>
            <w:left w:w="0" w:type="dxa"/>
            <w:bottom w:w="0" w:type="dxa"/>
            <w:right w:w="0" w:type="dxa"/>
          </w:tblCellMar>
        </w:tblPrEx>
        <w:trPr>
          <w:trHeight w:val="90" w:hRule="atLeast"/>
          <w:tblHeader/>
          <w:jc w:val="center"/>
        </w:trPr>
        <w:tc>
          <w:tcPr>
            <w:tcW w:w="14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9FCD7FB">
            <w:pPr>
              <w:jc w:val="center"/>
              <w:rPr>
                <w:rFonts w:hint="eastAsia" w:ascii="楷体_GB2312" w:hAnsi="楷体_GB2312" w:eastAsia="楷体_GB2312" w:cs="楷体_GB2312"/>
                <w:b/>
                <w:i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CC227">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作业时间范围</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3E3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color w:val="000000"/>
                <w:kern w:val="0"/>
                <w:sz w:val="21"/>
                <w:szCs w:val="21"/>
                <w:lang w:val="en-US" w:eastAsia="zh-CN" w:bidi="ar"/>
              </w:rPr>
              <w:t>春麦：2月20日至3月10日，冬麦：9月10日至10月10日</w:t>
            </w:r>
          </w:p>
        </w:tc>
        <w:tc>
          <w:tcPr>
            <w:tcW w:w="4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9E4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根据农时，列出耕整地作业起止时间范围及进度安排。</w:t>
            </w:r>
          </w:p>
        </w:tc>
      </w:tr>
      <w:tr w14:paraId="35A3C49E">
        <w:tblPrEx>
          <w:shd w:val="clear" w:color="auto" w:fill="auto"/>
          <w:tblCellMar>
            <w:top w:w="0" w:type="dxa"/>
            <w:left w:w="0" w:type="dxa"/>
            <w:bottom w:w="0" w:type="dxa"/>
            <w:right w:w="0" w:type="dxa"/>
          </w:tblCellMar>
        </w:tblPrEx>
        <w:trPr>
          <w:trHeight w:val="90" w:hRule="atLeast"/>
          <w:tblHeader/>
          <w:jc w:val="center"/>
        </w:trPr>
        <w:tc>
          <w:tcPr>
            <w:tcW w:w="14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FD9B5AC">
            <w:pPr>
              <w:jc w:val="center"/>
              <w:rPr>
                <w:rFonts w:hint="eastAsia" w:ascii="楷体_GB2312" w:hAnsi="楷体_GB2312" w:eastAsia="楷体_GB2312" w:cs="楷体_GB2312"/>
                <w:b/>
                <w:i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C7A69">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作业技术要求</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14B72">
            <w:pPr>
              <w:pStyle w:val="14"/>
              <w:keepNext w:val="0"/>
              <w:keepLines w:val="0"/>
              <w:pageBreakBefore w:val="0"/>
              <w:widowControl/>
              <w:shd w:val="clear" w:color="auto" w:fill="auto"/>
              <w:kinsoku/>
              <w:wordWrap/>
              <w:overflowPunct/>
              <w:topLinePunct w:val="0"/>
              <w:autoSpaceDE/>
              <w:autoSpaceDN/>
              <w:bidi w:val="0"/>
              <w:adjustRightInd/>
              <w:snapToGrid/>
              <w:spacing w:before="0" w:after="0" w:line="240" w:lineRule="exact"/>
              <w:ind w:left="0" w:leftChars="0" w:right="0" w:firstLine="0" w:firstLineChars="0"/>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color w:val="000000"/>
                <w:kern w:val="0"/>
                <w:sz w:val="21"/>
                <w:szCs w:val="21"/>
                <w:lang w:val="en-US" w:eastAsia="zh-CN" w:bidi="ar"/>
              </w:rPr>
              <w:t>适墒整地，犁地深度25cm以上，选用大马力轮式拖拉机配带联合整地机或驱动耙及时精细耙耱整地成待播状态，保证播种质量。做到土地平整，土地松碎，上松下实，墒度适合</w:t>
            </w:r>
          </w:p>
        </w:tc>
        <w:tc>
          <w:tcPr>
            <w:tcW w:w="4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68E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作业要求列出所采用机械的作业深度、作业幅宽、作业速度等技术指标。</w:t>
            </w:r>
          </w:p>
        </w:tc>
      </w:tr>
      <w:tr w14:paraId="73842E0A">
        <w:tblPrEx>
          <w:shd w:val="clear" w:color="auto" w:fill="auto"/>
          <w:tblCellMar>
            <w:top w:w="0" w:type="dxa"/>
            <w:left w:w="0" w:type="dxa"/>
            <w:bottom w:w="0" w:type="dxa"/>
            <w:right w:w="0" w:type="dxa"/>
          </w:tblCellMar>
        </w:tblPrEx>
        <w:trPr>
          <w:trHeight w:val="1515" w:hRule="atLeast"/>
          <w:tblHeader/>
          <w:jc w:val="center"/>
        </w:trPr>
        <w:tc>
          <w:tcPr>
            <w:tcW w:w="14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E9DC63E">
            <w:pPr>
              <w:jc w:val="center"/>
              <w:rPr>
                <w:rFonts w:hint="eastAsia" w:ascii="楷体_GB2312" w:hAnsi="楷体_GB2312" w:eastAsia="楷体_GB2312" w:cs="楷体_GB2312"/>
                <w:b/>
                <w:i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90DCD">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作业质量</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B3632">
            <w:pPr>
              <w:pStyle w:val="14"/>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line="240" w:lineRule="exact"/>
              <w:ind w:right="0" w:rightChars="0"/>
              <w:jc w:val="left"/>
              <w:textAlignment w:val="auto"/>
              <w:rPr>
                <w:rFonts w:hint="eastAsia" w:ascii="方正仿宋_GBK" w:hAnsi="方正仿宋_GBK" w:eastAsia="方正仿宋_GBK" w:cs="方正仿宋_GBK"/>
                <w:color w:val="000000"/>
                <w:kern w:val="0"/>
                <w:sz w:val="21"/>
                <w:szCs w:val="21"/>
                <w:lang w:val="en-US" w:eastAsia="zh-CN" w:bidi="ar"/>
              </w:rPr>
            </w:pPr>
            <w:r>
              <w:rPr>
                <w:rFonts w:hint="eastAsia" w:ascii="方正仿宋_GBK" w:hAnsi="方正仿宋_GBK" w:eastAsia="方正仿宋_GBK" w:cs="方正仿宋_GBK"/>
                <w:color w:val="000000"/>
                <w:kern w:val="0"/>
                <w:sz w:val="21"/>
                <w:szCs w:val="21"/>
                <w:lang w:val="en-US" w:eastAsia="zh-CN" w:bidi="ar"/>
              </w:rPr>
              <w:t>1.不重耕、不漏耕，到头到边，机耕后地表平整，土壤松碎，无沟、无垄，地头地尾整齐；</w:t>
            </w:r>
          </w:p>
          <w:p w14:paraId="4BB8B3B0">
            <w:pPr>
              <w:pStyle w:val="14"/>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0" w:line="240" w:lineRule="exact"/>
              <w:ind w:right="0" w:rightChars="0"/>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color w:val="000000"/>
                <w:kern w:val="0"/>
                <w:sz w:val="21"/>
                <w:szCs w:val="21"/>
                <w:lang w:val="en-US" w:eastAsia="zh-CN" w:bidi="ar"/>
              </w:rPr>
              <w:t>2.耙到头、耙到边、不漏耙，耙完地后要圈边一圈，地头用犁翻后耙碎耙平。耙地后的土壤表层没有垄起的土堆，土条和明显的凹坑；作业后表层土壤疏松，保持适宜的紧密度，土块要耙碎；地表干净，无作物残茬，杂草和地膜。</w:t>
            </w:r>
          </w:p>
        </w:tc>
        <w:tc>
          <w:tcPr>
            <w:tcW w:w="4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9B3C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说明各个作业环节可达到的作业效果。</w:t>
            </w:r>
          </w:p>
        </w:tc>
      </w:tr>
      <w:tr w14:paraId="53CA362A">
        <w:tblPrEx>
          <w:tblCellMar>
            <w:top w:w="0" w:type="dxa"/>
            <w:left w:w="0" w:type="dxa"/>
            <w:bottom w:w="0" w:type="dxa"/>
            <w:right w:w="0" w:type="dxa"/>
          </w:tblCellMar>
        </w:tblPrEx>
        <w:trPr>
          <w:trHeight w:val="724" w:hRule="atLeast"/>
          <w:tblHeader/>
          <w:jc w:val="center"/>
        </w:trPr>
        <w:tc>
          <w:tcPr>
            <w:tcW w:w="148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17C879D4">
            <w:pPr>
              <w:jc w:val="center"/>
              <w:rPr>
                <w:rFonts w:hint="eastAsia" w:ascii="楷体_GB2312" w:hAnsi="楷体_GB2312" w:eastAsia="楷体_GB2312" w:cs="楷体_GB2312"/>
                <w:b/>
                <w:i w:val="0"/>
                <w:color w:val="000000"/>
                <w:kern w:val="0"/>
                <w:sz w:val="22"/>
                <w:szCs w:val="22"/>
                <w:u w:val="none"/>
                <w:lang w:val="en-US" w:eastAsia="zh-CN" w:bidi="ar"/>
              </w:rPr>
            </w:pPr>
            <w:r>
              <w:rPr>
                <w:rFonts w:hint="eastAsia" w:ascii="楷体_GB2312" w:hAnsi="楷体_GB2312" w:eastAsia="楷体_GB2312" w:cs="楷体_GB2312"/>
                <w:b/>
                <w:i w:val="0"/>
                <w:color w:val="000000"/>
                <w:kern w:val="0"/>
                <w:sz w:val="22"/>
                <w:szCs w:val="22"/>
                <w:u w:val="none"/>
                <w:lang w:val="en-US" w:eastAsia="zh-CN" w:bidi="ar"/>
              </w:rPr>
              <w:t>播种</w:t>
            </w:r>
          </w:p>
          <w:p w14:paraId="26026E0F">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68E8192">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播种方式</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0A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color w:val="000000"/>
                <w:kern w:val="0"/>
                <w:sz w:val="21"/>
                <w:szCs w:val="21"/>
                <w:lang w:val="en-US" w:eastAsia="zh-CN" w:bidi="ar"/>
              </w:rPr>
              <w:t>常规播种</w:t>
            </w:r>
          </w:p>
        </w:tc>
        <w:tc>
          <w:tcPr>
            <w:tcW w:w="4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F59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按种子品类、耕作制度、地块面积、土壤特性等综合选定不同种植方式。如免耕播种、常规播种、移栽等。</w:t>
            </w:r>
          </w:p>
        </w:tc>
      </w:tr>
      <w:tr w14:paraId="1D38D471">
        <w:tblPrEx>
          <w:tblCellMar>
            <w:top w:w="0" w:type="dxa"/>
            <w:left w:w="0" w:type="dxa"/>
            <w:bottom w:w="0" w:type="dxa"/>
            <w:right w:w="0" w:type="dxa"/>
          </w:tblCellMar>
        </w:tblPrEx>
        <w:trPr>
          <w:trHeight w:val="628"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FC4D3E7">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C9E7805">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播种时间范围</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1FB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color w:val="000000"/>
                <w:kern w:val="0"/>
                <w:sz w:val="21"/>
                <w:szCs w:val="21"/>
                <w:lang w:val="en-US" w:eastAsia="zh-CN" w:bidi="ar"/>
              </w:rPr>
              <w:t>春麦：2月20日至3月10日；冬麦：10月1日至10月15日</w:t>
            </w:r>
          </w:p>
        </w:tc>
        <w:tc>
          <w:tcPr>
            <w:tcW w:w="4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1DD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根据农时，注明作业起止时间范围和进度安排。</w:t>
            </w:r>
          </w:p>
        </w:tc>
      </w:tr>
      <w:tr w14:paraId="33482872">
        <w:tblPrEx>
          <w:shd w:val="clear" w:color="auto" w:fill="auto"/>
          <w:tblCellMar>
            <w:top w:w="0" w:type="dxa"/>
            <w:left w:w="0" w:type="dxa"/>
            <w:bottom w:w="0" w:type="dxa"/>
            <w:right w:w="0" w:type="dxa"/>
          </w:tblCellMar>
        </w:tblPrEx>
        <w:trPr>
          <w:trHeight w:val="1634"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36C109BE">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D25A4AD">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sz w:val="22"/>
                <w:szCs w:val="22"/>
                <w:u w:val="none"/>
                <w:lang w:val="en-US" w:eastAsia="zh-CN"/>
              </w:rPr>
              <w:t>作业要求</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88589">
            <w:pPr>
              <w:pStyle w:val="14"/>
              <w:keepNext w:val="0"/>
              <w:keepLines w:val="0"/>
              <w:pageBreakBefore w:val="0"/>
              <w:widowControl/>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kern w:val="2"/>
                <w:sz w:val="21"/>
                <w:szCs w:val="21"/>
                <w:lang w:val="en-US" w:eastAsia="zh-CN" w:bidi="ar-SA"/>
              </w:rPr>
              <w:t>采用15cm等行距条播播种机，配套动力采用75马力以上的大马力拖拉机，内配置北斗卫星导航系统，播行直，接行精准，在一个播幅内行距偏差不超过1cm，播幅间的交接行偏差不超过3cm。播种深度3～4cm。播种后根据墒情适当镇压。</w:t>
            </w:r>
          </w:p>
        </w:tc>
        <w:tc>
          <w:tcPr>
            <w:tcW w:w="4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DAF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列出所采用机械的作业幅宽、速度、深度、行距、株距，以及种、肥、药等农资使用量。非直播水田插秧在本环节说明。播种同时采用机械施底肥的，列出机械作业方式（如侧施肥）、幅宽、速度、深度、种肥间距等特性并注明用肥品类品牌、施用方法和施肥量。</w:t>
            </w:r>
          </w:p>
        </w:tc>
      </w:tr>
      <w:tr w14:paraId="52C0065B">
        <w:tblPrEx>
          <w:tblCellMar>
            <w:top w:w="0" w:type="dxa"/>
            <w:left w:w="0" w:type="dxa"/>
            <w:bottom w:w="0" w:type="dxa"/>
            <w:right w:w="0" w:type="dxa"/>
          </w:tblCellMar>
        </w:tblPrEx>
        <w:trPr>
          <w:trHeight w:val="934" w:hRule="atLeast"/>
          <w:tblHeader/>
          <w:jc w:val="center"/>
        </w:trPr>
        <w:tc>
          <w:tcPr>
            <w:tcW w:w="148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D2377C">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48EA84E2">
            <w:pPr>
              <w:jc w:val="center"/>
              <w:rPr>
                <w:rFonts w:hint="eastAsia" w:ascii="楷体_GB2312" w:hAnsi="楷体_GB2312" w:eastAsia="楷体_GB2312" w:cs="楷体_GB2312"/>
                <w:i w:val="0"/>
                <w:color w:val="000000"/>
                <w:sz w:val="22"/>
                <w:szCs w:val="22"/>
                <w:u w:val="none"/>
              </w:rPr>
            </w:pPr>
            <w:r>
              <w:rPr>
                <w:rFonts w:hint="eastAsia" w:ascii="楷体_GB2312" w:hAnsi="楷体_GB2312" w:eastAsia="楷体_GB2312" w:cs="楷体_GB2312"/>
                <w:i w:val="0"/>
                <w:color w:val="000000"/>
                <w:kern w:val="0"/>
                <w:sz w:val="22"/>
                <w:szCs w:val="22"/>
                <w:u w:val="none"/>
                <w:lang w:val="en-US" w:eastAsia="zh-CN" w:bidi="ar"/>
              </w:rPr>
              <w:t>作业</w:t>
            </w:r>
            <w:r>
              <w:rPr>
                <w:rFonts w:hint="eastAsia" w:ascii="楷体_GB2312" w:hAnsi="楷体_GB2312" w:eastAsia="楷体_GB2312" w:cs="楷体_GB2312"/>
                <w:i w:val="0"/>
                <w:color w:val="000000"/>
                <w:sz w:val="22"/>
                <w:szCs w:val="22"/>
                <w:u w:val="none"/>
                <w:lang w:val="en-US" w:eastAsia="zh-CN"/>
              </w:rPr>
              <w:t>效果</w:t>
            </w:r>
          </w:p>
        </w:tc>
        <w:tc>
          <w:tcPr>
            <w:tcW w:w="666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37898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b w:val="0"/>
                <w:bCs/>
                <w:color w:val="000000"/>
                <w:kern w:val="0"/>
                <w:sz w:val="21"/>
                <w:szCs w:val="21"/>
                <w:lang w:val="en-US" w:eastAsia="zh-CN" w:bidi="ar"/>
              </w:rPr>
              <w:t>播行播距一致，播行直，播种株距均匀，密植度合格，下种量均匀，播种下种深度一致达标，播到边到角，地头整齐，不重播、不漏播；施肥量精确，覆土严实，镇压确实，保证没有浮籽。种子损伤率要小。</w:t>
            </w:r>
          </w:p>
        </w:tc>
        <w:tc>
          <w:tcPr>
            <w:tcW w:w="41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DD1D9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说明可达到的作业效果。</w:t>
            </w:r>
          </w:p>
        </w:tc>
      </w:tr>
      <w:tr w14:paraId="25FB5C37">
        <w:tblPrEx>
          <w:shd w:val="clear" w:color="auto" w:fill="auto"/>
          <w:tblCellMar>
            <w:top w:w="0" w:type="dxa"/>
            <w:left w:w="0" w:type="dxa"/>
            <w:bottom w:w="0" w:type="dxa"/>
            <w:right w:w="0" w:type="dxa"/>
          </w:tblCellMar>
        </w:tblPrEx>
        <w:trPr>
          <w:trHeight w:val="2630" w:hRule="atLeast"/>
          <w:tblHeader/>
          <w:jc w:val="center"/>
        </w:trPr>
        <w:tc>
          <w:tcPr>
            <w:tcW w:w="1480" w:type="dxa"/>
            <w:vMerge w:val="restart"/>
            <w:tcBorders>
              <w:top w:val="single" w:color="auto" w:sz="4" w:space="0"/>
              <w:left w:val="single" w:color="auto" w:sz="4" w:space="0"/>
              <w:right w:val="single" w:color="000000" w:sz="4" w:space="0"/>
            </w:tcBorders>
            <w:shd w:val="clear" w:color="auto" w:fill="auto"/>
            <w:tcMar>
              <w:top w:w="15" w:type="dxa"/>
              <w:left w:w="15" w:type="dxa"/>
              <w:right w:w="15" w:type="dxa"/>
            </w:tcMar>
            <w:vAlign w:val="center"/>
          </w:tcPr>
          <w:p w14:paraId="60E70886">
            <w:pPr>
              <w:jc w:val="center"/>
              <w:rPr>
                <w:rFonts w:hint="eastAsia" w:ascii="楷体_GB2312" w:hAnsi="楷体_GB2312" w:eastAsia="楷体_GB2312" w:cs="楷体_GB2312"/>
                <w:b/>
                <w:i w:val="0"/>
                <w:color w:val="000000"/>
                <w:kern w:val="0"/>
                <w:sz w:val="22"/>
                <w:szCs w:val="22"/>
                <w:u w:val="none"/>
                <w:lang w:val="en-US" w:eastAsia="zh-CN" w:bidi="ar"/>
              </w:rPr>
            </w:pPr>
            <w:r>
              <w:rPr>
                <w:rFonts w:hint="eastAsia" w:ascii="楷体_GB2312" w:hAnsi="楷体_GB2312" w:eastAsia="楷体_GB2312" w:cs="楷体_GB2312"/>
                <w:b/>
                <w:i w:val="0"/>
                <w:color w:val="000000"/>
                <w:kern w:val="0"/>
                <w:sz w:val="22"/>
                <w:szCs w:val="22"/>
                <w:u w:val="none"/>
                <w:lang w:val="en-US" w:eastAsia="zh-CN" w:bidi="ar"/>
              </w:rPr>
              <w:t>植保</w:t>
            </w:r>
          </w:p>
        </w:tc>
        <w:tc>
          <w:tcPr>
            <w:tcW w:w="19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06AF3B7">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植保方案</w:t>
            </w:r>
          </w:p>
        </w:tc>
        <w:tc>
          <w:tcPr>
            <w:tcW w:w="666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BF630B0">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小麦病虫害主要有小麦锈病、白粉病、蚜虫、棉铃虫等，零星发生根腐病。以农业防治、物理防治、生物防治为主，化学防治为辅，选用低毒低残留的生物农药，保护利用天敌。</w:t>
            </w:r>
          </w:p>
          <w:p w14:paraId="0FC8EA78">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锈病：发病初期（5月初至5月底），选用25%丙环唑10mL/亩+6%嘧菌脂10mL/亩或43%戊唑醇（戊唑醇）10mL/亩+8%嘧菌脂10mL/亩，兑水30kg喷雾防治。连喷2次，间隔7～10天。</w:t>
            </w:r>
          </w:p>
          <w:p w14:paraId="0F05BE18">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白粉病：喷施15％三唑酮可湿性粉剂60～100g/亩＋50％多菌灵可湿性粉剂100g/亩，间隔7～10天，连喷2次。</w:t>
            </w:r>
          </w:p>
          <w:p w14:paraId="0CB0522D">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根腐病：可用15％三唑酮可湿性粉剂60～100g/亩＋50％多菌灵可湿性粉剂150g/亩喷雾，均匀喷施2次。</w:t>
            </w:r>
          </w:p>
          <w:p w14:paraId="0A3D5946">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蚜虫：及时调查蚜虫量和天敌数量，当百株蚜虫超过500头，用20%吡虫啉15g/亩喷雾防治，既可杀灭蚜虫，又能保护天敌。</w:t>
            </w:r>
          </w:p>
          <w:p w14:paraId="7010B2C2">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棉铃虫：用1.8%阿维菌素乳油40～50mL/亩喷雾。</w:t>
            </w:r>
          </w:p>
        </w:tc>
        <w:tc>
          <w:tcPr>
            <w:tcW w:w="4175" w:type="dxa"/>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800C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针对作物不同生育期易发生的病虫草害，制定科学防治预案，注明易爆发的时间范围、诱发环境和形成灾害的表现，列出对应适用的“农业防治、生物防治、物理防治和化学防治”等防治措施，包括相应的药剂施用方案、设备设施布置方案、天敌释放数量方案等。本部分难点在于灾害诊断，各服务主体应有专业的技术人员（或聘任兼职专家）负责防治方案的制定和实施，或将本项工作托管给专业的植保队伍。</w:t>
            </w:r>
          </w:p>
        </w:tc>
      </w:tr>
      <w:tr w14:paraId="41C5594F">
        <w:tblPrEx>
          <w:tblCellMar>
            <w:top w:w="0" w:type="dxa"/>
            <w:left w:w="0" w:type="dxa"/>
            <w:bottom w:w="0" w:type="dxa"/>
            <w:right w:w="0" w:type="dxa"/>
          </w:tblCellMar>
        </w:tblPrEx>
        <w:trPr>
          <w:trHeight w:val="582"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F308B45">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0AE42E">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作业机具</w:t>
            </w:r>
          </w:p>
        </w:tc>
        <w:tc>
          <w:tcPr>
            <w:tcW w:w="666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8D6E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多旋翼无人机</w:t>
            </w:r>
          </w:p>
        </w:tc>
        <w:tc>
          <w:tcPr>
            <w:tcW w:w="4175"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72A4A9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列出植保方案中的作业机具，如无人机、高地隙植保机等。</w:t>
            </w:r>
          </w:p>
        </w:tc>
      </w:tr>
      <w:tr w14:paraId="31D8E59E">
        <w:tblPrEx>
          <w:tblCellMar>
            <w:top w:w="0" w:type="dxa"/>
            <w:left w:w="0" w:type="dxa"/>
            <w:bottom w:w="0" w:type="dxa"/>
            <w:right w:w="0" w:type="dxa"/>
          </w:tblCellMar>
        </w:tblPrEx>
        <w:trPr>
          <w:trHeight w:val="784" w:hRule="atLeast"/>
          <w:tblHeader/>
          <w:jc w:val="center"/>
        </w:trPr>
        <w:tc>
          <w:tcPr>
            <w:tcW w:w="148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3AF6DB5">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A917A">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作业要求</w:t>
            </w:r>
          </w:p>
        </w:tc>
        <w:tc>
          <w:tcPr>
            <w:tcW w:w="666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A84F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锁高、直线、匀速飞行，狭窄空间定点起降，1、应在离地面两米高度上飞行。飞行高度精度应在分米级。2、必须保持直线飞行，以保证不产生漏喷、重喷现象。飞行水平精度应在分米级。3、慢速匀速飞行。应该保持在4～6米/秒的匀速飞行。</w:t>
            </w:r>
          </w:p>
        </w:tc>
        <w:tc>
          <w:tcPr>
            <w:tcW w:w="4175"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173CF1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说明植保作业的效果。</w:t>
            </w:r>
          </w:p>
        </w:tc>
      </w:tr>
      <w:tr w14:paraId="504B32CB">
        <w:tblPrEx>
          <w:tblCellMar>
            <w:top w:w="0" w:type="dxa"/>
            <w:left w:w="0" w:type="dxa"/>
            <w:bottom w:w="0" w:type="dxa"/>
            <w:right w:w="0" w:type="dxa"/>
          </w:tblCellMar>
        </w:tblPrEx>
        <w:trPr>
          <w:trHeight w:val="500" w:hRule="atLeast"/>
          <w:tblHeader/>
          <w:jc w:val="center"/>
        </w:trPr>
        <w:tc>
          <w:tcPr>
            <w:tcW w:w="1480" w:type="dxa"/>
            <w:vMerge w:val="restart"/>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34A2465A">
            <w:pPr>
              <w:jc w:val="center"/>
              <w:rPr>
                <w:rFonts w:hint="eastAsia" w:ascii="楷体_GB2312" w:hAnsi="楷体_GB2312" w:eastAsia="楷体_GB2312" w:cs="楷体_GB2312"/>
                <w:b/>
                <w:i w:val="0"/>
                <w:color w:val="000000"/>
                <w:kern w:val="0"/>
                <w:sz w:val="22"/>
                <w:szCs w:val="22"/>
                <w:u w:val="none"/>
                <w:lang w:val="en-US" w:eastAsia="zh-CN" w:bidi="ar"/>
              </w:rPr>
            </w:pPr>
            <w:r>
              <w:rPr>
                <w:rFonts w:hint="eastAsia" w:ascii="楷体_GB2312" w:hAnsi="楷体_GB2312" w:eastAsia="楷体_GB2312" w:cs="楷体_GB2312"/>
                <w:b/>
                <w:i w:val="0"/>
                <w:color w:val="000000"/>
                <w:kern w:val="0"/>
                <w:sz w:val="22"/>
                <w:szCs w:val="22"/>
                <w:u w:val="none"/>
                <w:lang w:val="en-US" w:eastAsia="zh-CN" w:bidi="ar"/>
              </w:rPr>
              <w:t>作物收获</w:t>
            </w:r>
          </w:p>
          <w:p w14:paraId="678C5331">
            <w:pPr>
              <w:jc w:val="center"/>
              <w:rPr>
                <w:rFonts w:hint="eastAsia" w:ascii="楷体_GB2312" w:hAnsi="楷体_GB2312" w:eastAsia="楷体_GB2312" w:cs="楷体_GB2312"/>
                <w:b/>
                <w:i w:val="0"/>
                <w:color w:val="000000"/>
                <w:kern w:val="0"/>
                <w:sz w:val="22"/>
                <w:szCs w:val="22"/>
                <w:u w:val="none"/>
                <w:lang w:val="en-US" w:eastAsia="zh-CN" w:bidi="ar"/>
              </w:rPr>
            </w:pPr>
          </w:p>
          <w:p w14:paraId="0DB37CA6">
            <w:pPr>
              <w:jc w:val="center"/>
              <w:rPr>
                <w:rFonts w:hint="eastAsia" w:ascii="楷体_GB2312" w:hAnsi="楷体_GB2312" w:eastAsia="楷体_GB2312" w:cs="楷体_GB2312"/>
                <w:b/>
                <w:i w:val="0"/>
                <w:color w:val="000000"/>
                <w:kern w:val="0"/>
                <w:sz w:val="22"/>
                <w:szCs w:val="22"/>
                <w:u w:val="none"/>
                <w:lang w:val="en-US" w:eastAsia="zh-CN" w:bidi="ar"/>
              </w:rPr>
            </w:pPr>
          </w:p>
          <w:p w14:paraId="567A3FD0">
            <w:pPr>
              <w:jc w:val="center"/>
              <w:rPr>
                <w:rFonts w:hint="eastAsia" w:ascii="楷体_GB2312" w:hAnsi="楷体_GB2312" w:eastAsia="楷体_GB2312" w:cs="楷体_GB2312"/>
                <w:b/>
                <w:i w:val="0"/>
                <w:color w:val="000000"/>
                <w:kern w:val="0"/>
                <w:sz w:val="22"/>
                <w:szCs w:val="22"/>
                <w:u w:val="none"/>
                <w:lang w:val="en-US" w:eastAsia="zh-CN" w:bidi="ar"/>
              </w:rPr>
            </w:pPr>
          </w:p>
          <w:p w14:paraId="5FBBEF4E">
            <w:pPr>
              <w:jc w:val="center"/>
              <w:rPr>
                <w:rFonts w:hint="eastAsia" w:ascii="楷体_GB2312" w:hAnsi="楷体_GB2312" w:eastAsia="楷体_GB2312" w:cs="楷体_GB2312"/>
                <w:b/>
                <w:i w:val="0"/>
                <w:color w:val="000000"/>
                <w:kern w:val="0"/>
                <w:sz w:val="22"/>
                <w:szCs w:val="22"/>
                <w:u w:val="none"/>
                <w:lang w:val="en-US" w:eastAsia="zh-CN" w:bidi="ar"/>
              </w:rPr>
            </w:pPr>
          </w:p>
          <w:p w14:paraId="193D7456">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A89C">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收获机机型</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14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联合收割机</w:t>
            </w:r>
          </w:p>
        </w:tc>
        <w:tc>
          <w:tcPr>
            <w:tcW w:w="41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ADCA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按作物品种、收获物、地块面积和地形条件选择收割机机型。</w:t>
            </w:r>
          </w:p>
        </w:tc>
      </w:tr>
      <w:tr w14:paraId="47DF2BE9">
        <w:tblPrEx>
          <w:shd w:val="clear" w:color="auto" w:fill="auto"/>
          <w:tblCellMar>
            <w:top w:w="0" w:type="dxa"/>
            <w:left w:w="0" w:type="dxa"/>
            <w:bottom w:w="0" w:type="dxa"/>
            <w:right w:w="0" w:type="dxa"/>
          </w:tblCellMar>
        </w:tblPrEx>
        <w:trPr>
          <w:trHeight w:val="23" w:hRule="atLeast"/>
          <w:tblHeader/>
          <w:jc w:val="center"/>
        </w:trPr>
        <w:tc>
          <w:tcPr>
            <w:tcW w:w="1480"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09B9E6E5">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A6965">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作业时间范围</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591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6月20日至7月10日</w:t>
            </w:r>
          </w:p>
        </w:tc>
        <w:tc>
          <w:tcPr>
            <w:tcW w:w="41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53C0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按作物成熟度、气象条件、土壤条件等作业条件要求，确定收割时间及作业进度。</w:t>
            </w:r>
          </w:p>
        </w:tc>
      </w:tr>
      <w:tr w14:paraId="0DA05D99">
        <w:tblPrEx>
          <w:shd w:val="clear" w:color="auto" w:fill="auto"/>
          <w:tblCellMar>
            <w:top w:w="0" w:type="dxa"/>
            <w:left w:w="0" w:type="dxa"/>
            <w:bottom w:w="0" w:type="dxa"/>
            <w:right w:w="0" w:type="dxa"/>
          </w:tblCellMar>
        </w:tblPrEx>
        <w:trPr>
          <w:trHeight w:val="943" w:hRule="atLeast"/>
          <w:tblHeader/>
          <w:jc w:val="center"/>
        </w:trPr>
        <w:tc>
          <w:tcPr>
            <w:tcW w:w="1480"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6CE290B3">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693D3">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作业要求</w:t>
            </w:r>
          </w:p>
        </w:tc>
        <w:tc>
          <w:tcPr>
            <w:tcW w:w="6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1AF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收获过程中总损失不得超过1.5%，籽粒破碎率2.5%以下，籽粒脱净度97%以上，留茬高度12cm以下。</w:t>
            </w:r>
          </w:p>
        </w:tc>
        <w:tc>
          <w:tcPr>
            <w:tcW w:w="41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7553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列出所采用收割机的作业宽度、速度、秸秆切碎长度、割茬高度、籽粒损失率、果穗损失率、籽粒破碎率、秸秆抛撒不均匀率等作业特性。</w:t>
            </w:r>
          </w:p>
        </w:tc>
      </w:tr>
      <w:tr w14:paraId="620F918B">
        <w:tblPrEx>
          <w:shd w:val="clear" w:color="auto" w:fill="auto"/>
          <w:tblCellMar>
            <w:top w:w="0" w:type="dxa"/>
            <w:left w:w="0" w:type="dxa"/>
            <w:bottom w:w="0" w:type="dxa"/>
            <w:right w:w="0" w:type="dxa"/>
          </w:tblCellMar>
        </w:tblPrEx>
        <w:trPr>
          <w:trHeight w:val="412" w:hRule="atLeast"/>
          <w:tblHeader/>
          <w:jc w:val="center"/>
        </w:trPr>
        <w:tc>
          <w:tcPr>
            <w:tcW w:w="1480" w:type="dxa"/>
            <w:vMerge w:val="continue"/>
            <w:tcBorders>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18F56048">
            <w:pPr>
              <w:jc w:val="center"/>
              <w:rPr>
                <w:rFonts w:hint="eastAsia" w:ascii="楷体_GB2312" w:hAnsi="楷体_GB2312" w:eastAsia="楷体_GB2312" w:cs="楷体_GB2312"/>
                <w:b/>
                <w:i w:val="0"/>
                <w:color w:val="000000"/>
                <w:kern w:val="0"/>
                <w:sz w:val="22"/>
                <w:szCs w:val="22"/>
                <w:u w:val="none"/>
                <w:lang w:val="en-US" w:eastAsia="zh-CN" w:bidi="ar"/>
              </w:rPr>
            </w:pPr>
          </w:p>
        </w:tc>
        <w:tc>
          <w:tcPr>
            <w:tcW w:w="1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8F00CE4">
            <w:pPr>
              <w:jc w:val="center"/>
              <w:rPr>
                <w:rFonts w:hint="eastAsia" w:ascii="楷体_GB2312" w:hAnsi="楷体_GB2312" w:eastAsia="楷体_GB2312" w:cs="楷体_GB2312"/>
                <w:i w:val="0"/>
                <w:color w:val="000000"/>
                <w:sz w:val="22"/>
                <w:szCs w:val="22"/>
                <w:u w:val="none"/>
                <w:lang w:val="en-US" w:eastAsia="zh-CN"/>
              </w:rPr>
            </w:pPr>
            <w:r>
              <w:rPr>
                <w:rFonts w:hint="eastAsia" w:ascii="楷体_GB2312" w:hAnsi="楷体_GB2312" w:eastAsia="楷体_GB2312" w:cs="楷体_GB2312"/>
                <w:i w:val="0"/>
                <w:color w:val="000000"/>
                <w:sz w:val="22"/>
                <w:szCs w:val="22"/>
                <w:u w:val="none"/>
                <w:lang w:val="en-US" w:eastAsia="zh-CN"/>
              </w:rPr>
              <w:t>作业效果</w:t>
            </w:r>
          </w:p>
        </w:tc>
        <w:tc>
          <w:tcPr>
            <w:tcW w:w="666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15DFE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收得净，麦茬低，速度快，损失少</w:t>
            </w:r>
          </w:p>
        </w:tc>
        <w:tc>
          <w:tcPr>
            <w:tcW w:w="4175" w:type="dxa"/>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32C4A9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说明可达到的作业效果。</w:t>
            </w:r>
          </w:p>
        </w:tc>
      </w:tr>
    </w:tbl>
    <w:p w14:paraId="597D730D">
      <w:pPr>
        <w:keepNext w:val="0"/>
        <w:keepLines w:val="0"/>
        <w:pageBreakBefore w:val="0"/>
        <w:kinsoku/>
        <w:wordWrap/>
        <w:overflowPunct/>
        <w:topLinePunct w:val="0"/>
        <w:autoSpaceDE/>
        <w:autoSpaceDN/>
        <w:bidi w:val="0"/>
        <w:adjustRightInd/>
        <w:spacing w:line="240" w:lineRule="auto"/>
        <w:jc w:val="both"/>
        <w:rPr>
          <w:rFonts w:hint="default" w:ascii="Times New Roman" w:hAnsi="Times New Roman" w:cs="Times New Roman"/>
          <w:color w:val="auto"/>
          <w:highlight w:val="none"/>
        </w:rPr>
      </w:pPr>
    </w:p>
    <w:sectPr>
      <w:pgSz w:w="16838" w:h="11906" w:orient="landscape"/>
      <w:pgMar w:top="1531" w:right="1871" w:bottom="1531" w:left="1984"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517B">
    <w:pPr>
      <w:pStyle w:val="5"/>
      <w:tabs>
        <w:tab w:val="center" w:pos="6979"/>
      </w:tabs>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121920</wp:posOffset>
              </wp:positionV>
              <wp:extent cx="1828800" cy="2755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275590"/>
                      </a:xfrm>
                      <a:prstGeom prst="rect">
                        <a:avLst/>
                      </a:prstGeom>
                      <a:noFill/>
                      <a:ln>
                        <a:noFill/>
                      </a:ln>
                    </wps:spPr>
                    <wps:txbx>
                      <w:txbxContent>
                        <w:p w14:paraId="7EE23A3D">
                          <w:pPr>
                            <w:pStyle w:val="4"/>
                            <w:jc w:val="both"/>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wps:wsp>
                </a:graphicData>
              </a:graphic>
            </wp:anchor>
          </w:drawing>
        </mc:Choice>
        <mc:Fallback>
          <w:pict>
            <v:shape id="_x0000_s1026" o:spid="_x0000_s1026" o:spt="202" type="#_x0000_t202" style="position:absolute;left:0pt;margin-top:9.6pt;height:21.7pt;width:144pt;mso-position-horizontal:outside;mso-position-horizontal-relative:margin;mso-wrap-style:none;z-index:251659264;mso-width-relative:page;mso-height-relative:page;" filled="f" stroked="f" coordsize="21600,21600" o:gfxdata="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gFom/0gAAAAYBAAAPAAAAAAAAAAEAIAAAACIAAABkcnMvZG93bnJldi54bWxQSwEC&#10;FAAUAAAACACHTuJAZOx7ycEBAAB+AwAADgAAAAAAAAABACAAAAAhAQAAZHJzL2Uyb0RvYy54bWxQ&#10;SwUGAAAAAAYABgBZAQAAVAUAAAAA&#10;">
              <v:fill on="f" focussize="0,0"/>
              <v:stroke on="f"/>
              <v:imagedata o:title=""/>
              <o:lock v:ext="edit" aspectratio="f"/>
              <v:textbox inset="0mm,0mm,0mm,0mm">
                <w:txbxContent>
                  <w:p w14:paraId="7EE23A3D">
                    <w:pPr>
                      <w:pStyle w:val="4"/>
                      <w:jc w:val="both"/>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1A67E"/>
    <w:multiLevelType w:val="singleLevel"/>
    <w:tmpl w:val="9E61A67E"/>
    <w:lvl w:ilvl="0" w:tentative="0">
      <w:start w:val="1"/>
      <w:numFmt w:val="decimal"/>
      <w:pStyle w:val="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hMGEzNGNjNjliMzUyNDkxODAyZGViMzM1ZDYwODUifQ=="/>
  </w:docVars>
  <w:rsids>
    <w:rsidRoot w:val="00000000"/>
    <w:rsid w:val="0012049E"/>
    <w:rsid w:val="005E0AA6"/>
    <w:rsid w:val="00757B9E"/>
    <w:rsid w:val="00D51ED6"/>
    <w:rsid w:val="023C07C0"/>
    <w:rsid w:val="025229E4"/>
    <w:rsid w:val="035C3DDD"/>
    <w:rsid w:val="03F07049"/>
    <w:rsid w:val="06451DC1"/>
    <w:rsid w:val="067B3CE8"/>
    <w:rsid w:val="068D0A00"/>
    <w:rsid w:val="07A34FF1"/>
    <w:rsid w:val="07F47895"/>
    <w:rsid w:val="089472A5"/>
    <w:rsid w:val="0A546157"/>
    <w:rsid w:val="0AD563ED"/>
    <w:rsid w:val="0B380146"/>
    <w:rsid w:val="0BE90399"/>
    <w:rsid w:val="0C5965C6"/>
    <w:rsid w:val="0D3E1401"/>
    <w:rsid w:val="0DA6583B"/>
    <w:rsid w:val="0DDF69FB"/>
    <w:rsid w:val="0DE10621"/>
    <w:rsid w:val="0EEA512F"/>
    <w:rsid w:val="0EF85E43"/>
    <w:rsid w:val="113275BB"/>
    <w:rsid w:val="12003CDD"/>
    <w:rsid w:val="12910929"/>
    <w:rsid w:val="13837E94"/>
    <w:rsid w:val="14C91E0F"/>
    <w:rsid w:val="14D346D4"/>
    <w:rsid w:val="15A66745"/>
    <w:rsid w:val="16A300C9"/>
    <w:rsid w:val="16F04133"/>
    <w:rsid w:val="17947619"/>
    <w:rsid w:val="18A40BC9"/>
    <w:rsid w:val="198C7FDB"/>
    <w:rsid w:val="19E44449"/>
    <w:rsid w:val="1A8D60C9"/>
    <w:rsid w:val="1AE65BE2"/>
    <w:rsid w:val="1B067F76"/>
    <w:rsid w:val="1B3C333B"/>
    <w:rsid w:val="1BF73705"/>
    <w:rsid w:val="1D0144ED"/>
    <w:rsid w:val="1DCA0C7A"/>
    <w:rsid w:val="1E1660C5"/>
    <w:rsid w:val="1E242C72"/>
    <w:rsid w:val="1F727016"/>
    <w:rsid w:val="206F6A27"/>
    <w:rsid w:val="21392AE2"/>
    <w:rsid w:val="2277734E"/>
    <w:rsid w:val="230B5946"/>
    <w:rsid w:val="2314567A"/>
    <w:rsid w:val="232C5F66"/>
    <w:rsid w:val="25570701"/>
    <w:rsid w:val="261750D0"/>
    <w:rsid w:val="26D97563"/>
    <w:rsid w:val="276438E5"/>
    <w:rsid w:val="2777019C"/>
    <w:rsid w:val="28441A80"/>
    <w:rsid w:val="290472F6"/>
    <w:rsid w:val="2A581813"/>
    <w:rsid w:val="2ABE5B1A"/>
    <w:rsid w:val="2C591760"/>
    <w:rsid w:val="2CEA5839"/>
    <w:rsid w:val="2DBB772D"/>
    <w:rsid w:val="30A55FE8"/>
    <w:rsid w:val="30C61BCC"/>
    <w:rsid w:val="30C741AF"/>
    <w:rsid w:val="31B5737E"/>
    <w:rsid w:val="31ED3189"/>
    <w:rsid w:val="322070BA"/>
    <w:rsid w:val="32CB213D"/>
    <w:rsid w:val="335C4122"/>
    <w:rsid w:val="3432139C"/>
    <w:rsid w:val="35425873"/>
    <w:rsid w:val="35667C39"/>
    <w:rsid w:val="396718CF"/>
    <w:rsid w:val="3B455DE4"/>
    <w:rsid w:val="3CF54716"/>
    <w:rsid w:val="3D0F48FB"/>
    <w:rsid w:val="3D9372DA"/>
    <w:rsid w:val="3DC96858"/>
    <w:rsid w:val="3ED20A82"/>
    <w:rsid w:val="3EF56DDA"/>
    <w:rsid w:val="3F21321A"/>
    <w:rsid w:val="3F3479E9"/>
    <w:rsid w:val="3F51740A"/>
    <w:rsid w:val="3FD9040F"/>
    <w:rsid w:val="40356614"/>
    <w:rsid w:val="404E424A"/>
    <w:rsid w:val="40801A26"/>
    <w:rsid w:val="4114603C"/>
    <w:rsid w:val="41EF2769"/>
    <w:rsid w:val="423C06F6"/>
    <w:rsid w:val="424A2EC3"/>
    <w:rsid w:val="42997141"/>
    <w:rsid w:val="44E1498A"/>
    <w:rsid w:val="45DB7379"/>
    <w:rsid w:val="46AB115B"/>
    <w:rsid w:val="47421D88"/>
    <w:rsid w:val="4785211E"/>
    <w:rsid w:val="47FC782A"/>
    <w:rsid w:val="483F0251"/>
    <w:rsid w:val="4A332DA5"/>
    <w:rsid w:val="4AE44D51"/>
    <w:rsid w:val="4B445083"/>
    <w:rsid w:val="4C8841A8"/>
    <w:rsid w:val="4D107B5E"/>
    <w:rsid w:val="4D1A6F0E"/>
    <w:rsid w:val="4DCA6EE8"/>
    <w:rsid w:val="4E611425"/>
    <w:rsid w:val="4E70121A"/>
    <w:rsid w:val="4E872543"/>
    <w:rsid w:val="51162550"/>
    <w:rsid w:val="51E81B48"/>
    <w:rsid w:val="521052D8"/>
    <w:rsid w:val="52F43C21"/>
    <w:rsid w:val="53876B42"/>
    <w:rsid w:val="53C90F08"/>
    <w:rsid w:val="5450043A"/>
    <w:rsid w:val="54676806"/>
    <w:rsid w:val="54C4066F"/>
    <w:rsid w:val="54F80F1B"/>
    <w:rsid w:val="55597487"/>
    <w:rsid w:val="582153D4"/>
    <w:rsid w:val="582B282D"/>
    <w:rsid w:val="58477359"/>
    <w:rsid w:val="59AD7506"/>
    <w:rsid w:val="5A6C50E4"/>
    <w:rsid w:val="5B92248D"/>
    <w:rsid w:val="5C450C11"/>
    <w:rsid w:val="5E44072C"/>
    <w:rsid w:val="5E4F17DF"/>
    <w:rsid w:val="5EC62482"/>
    <w:rsid w:val="5F1D30CA"/>
    <w:rsid w:val="60C245BA"/>
    <w:rsid w:val="61842912"/>
    <w:rsid w:val="620852F1"/>
    <w:rsid w:val="62A94931"/>
    <w:rsid w:val="63655A7F"/>
    <w:rsid w:val="637013A0"/>
    <w:rsid w:val="645E3BAB"/>
    <w:rsid w:val="64DB6CED"/>
    <w:rsid w:val="663C0D13"/>
    <w:rsid w:val="664E2D73"/>
    <w:rsid w:val="67594533"/>
    <w:rsid w:val="676254A4"/>
    <w:rsid w:val="6798426B"/>
    <w:rsid w:val="67CB77A8"/>
    <w:rsid w:val="696F1761"/>
    <w:rsid w:val="69A26819"/>
    <w:rsid w:val="69C243A3"/>
    <w:rsid w:val="6A483035"/>
    <w:rsid w:val="6AE14931"/>
    <w:rsid w:val="6B247F4F"/>
    <w:rsid w:val="6BBE4001"/>
    <w:rsid w:val="6BE07E26"/>
    <w:rsid w:val="6D1424AA"/>
    <w:rsid w:val="6EAB14DE"/>
    <w:rsid w:val="6F885790"/>
    <w:rsid w:val="70C30364"/>
    <w:rsid w:val="724C2FD8"/>
    <w:rsid w:val="72B15531"/>
    <w:rsid w:val="72C96011"/>
    <w:rsid w:val="738D7029"/>
    <w:rsid w:val="739C65F8"/>
    <w:rsid w:val="73B1673D"/>
    <w:rsid w:val="761958C7"/>
    <w:rsid w:val="77707769"/>
    <w:rsid w:val="79676F3A"/>
    <w:rsid w:val="79770C16"/>
    <w:rsid w:val="7A4969FE"/>
    <w:rsid w:val="7AD32A1E"/>
    <w:rsid w:val="7B8C66FB"/>
    <w:rsid w:val="7C9C2C8F"/>
    <w:rsid w:val="7E774A0A"/>
    <w:rsid w:val="7EA06CA2"/>
    <w:rsid w:val="7F511C2E"/>
    <w:rsid w:val="7F7952AA"/>
    <w:rsid w:val="7FC3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rPr>
      <w:rFonts w:eastAsia="仿宋_GB2312"/>
      <w:spacing w:val="0"/>
      <w:sz w:val="28"/>
      <w:szCs w:val="24"/>
    </w:rPr>
  </w:style>
  <w:style w:type="paragraph" w:styleId="4">
    <w:name w:val="footer"/>
    <w:basedOn w:val="1"/>
    <w:next w:val="1"/>
    <w:unhideWhenUsed/>
    <w:qFormat/>
    <w:uiPriority w:val="99"/>
    <w:pPr>
      <w:tabs>
        <w:tab w:val="center" w:pos="4153"/>
        <w:tab w:val="right" w:pos="8306"/>
      </w:tabs>
      <w:snapToGrid w:val="0"/>
      <w:jc w:val="left"/>
    </w:pPr>
    <w:rPr>
      <w:sz w:val="18"/>
      <w:szCs w:val="18"/>
    </w:rPr>
  </w:style>
  <w:style w:type="paragraph" w:styleId="5">
    <w:name w:val="Block Text"/>
    <w:basedOn w:val="1"/>
    <w:qFormat/>
    <w:uiPriority w:val="0"/>
    <w:pPr>
      <w:spacing w:after="120"/>
      <w:ind w:left="700" w:leftChars="700" w:right="700" w:rightChars="700"/>
    </w:pPr>
  </w:style>
  <w:style w:type="paragraph" w:styleId="6">
    <w:name w:val="Plain Text"/>
    <w:basedOn w:val="1"/>
    <w:next w:val="7"/>
    <w:unhideWhenUsed/>
    <w:qFormat/>
    <w:uiPriority w:val="99"/>
    <w:pPr>
      <w:spacing w:line="240" w:lineRule="atLeast"/>
    </w:pPr>
    <w:rPr>
      <w:rFonts w:ascii="宋体" w:hAnsi="Courier New"/>
      <w:sz w:val="24"/>
      <w:szCs w:val="20"/>
    </w:rPr>
  </w:style>
  <w:style w:type="paragraph" w:styleId="7">
    <w:name w:val="List Number 5"/>
    <w:basedOn w:val="1"/>
    <w:qFormat/>
    <w:uiPriority w:val="0"/>
    <w:pPr>
      <w:numPr>
        <w:ilvl w:val="0"/>
        <w:numId w:val="1"/>
      </w:numPr>
    </w:pPr>
  </w:style>
  <w:style w:type="paragraph" w:styleId="8">
    <w:name w:val="Body Text Indent 2"/>
    <w:unhideWhenUsed/>
    <w:qFormat/>
    <w:uiPriority w:val="99"/>
    <w:pPr>
      <w:widowControl w:val="0"/>
      <w:ind w:firstLine="612" w:firstLineChars="200"/>
      <w:jc w:val="both"/>
    </w:pPr>
    <w:rPr>
      <w:rFonts w:ascii="宋体" w:hAnsi="宋体" w:eastAsia="宋体" w:cs="Times New Roman"/>
      <w:kern w:val="2"/>
      <w:sz w:val="30"/>
      <w:szCs w:val="24"/>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UserStyle_0"/>
    <w:basedOn w:val="1"/>
    <w:next w:val="1"/>
    <w:qFormat/>
    <w:uiPriority w:val="0"/>
    <w:pPr>
      <w:snapToGrid w:val="0"/>
      <w:spacing w:line="560" w:lineRule="exact"/>
      <w:ind w:firstLine="602" w:firstLineChars="200"/>
      <w:textAlignment w:val="baseline"/>
    </w:pPr>
    <w:rPr>
      <w:sz w:val="32"/>
      <w:szCs w:val="32"/>
    </w:rPr>
  </w:style>
  <w:style w:type="paragraph" w:customStyle="1" w:styleId="1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4">
    <w:name w:val="正文文本1"/>
    <w:basedOn w:val="1"/>
    <w:qFormat/>
    <w:uiPriority w:val="0"/>
    <w:pPr>
      <w:spacing w:line="470" w:lineRule="auto"/>
      <w:ind w:firstLine="400"/>
    </w:pPr>
    <w:rPr>
      <w:rFonts w:ascii="宋体" w:hAnsi="宋体" w:eastAsia="宋体" w:cs="宋体"/>
      <w:sz w:val="28"/>
      <w:szCs w:val="28"/>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3327eb44-a65d-46ec-b5d6-6f6faa23ba20</errorID>
      <errorWord>&lt;</errorWord>
      <group>L1_Format</group>
      <groupName>格式问题</groupName>
      <ability>L2_HalfPunc_CN</ability>
      <abilityName>全半角问题</abilityName>
      <candidateList>
        <item>〈</item>
      </candidateList>
      <explain>文本全半角错误。</explain>
      <paraID>11AEFC28</paraID>
      <start>66</start>
      <end>67</end>
      <status>modified</status>
      <modifiedWord>〈</modifiedWord>
      <trackRevisions>false</trackRevisions>
    </reviewItem>
    <reviewItem>
      <errorID>52275236-984b-4cb1-a69c-8f84e24eb23f</errorID>
      <errorWord>&gt;的通知》</errorWord>
      <group>L1_Punc</group>
      <groupName>标点问题</groupName>
      <ability>L2_Punc_CN</ability>
      <abilityName>标点符号问题</abilityName>
      <candidateList>
        <item>〉的通知》</item>
      </candidateList>
      <explain/>
      <paraID>11AEFC28</paraID>
      <start>100</start>
      <end>105</end>
      <status>modified</status>
      <modifiedWord>〉的通知》</modifiedWord>
      <trackRevisions>false</trackRevisions>
    </reviewItem>
    <reviewItem>
      <errorID>c63f25e9-7800-4bf4-866c-58cda2708912</errorID>
      <errorWord>配带</errorWord>
      <group>L1_Word</group>
      <groupName>字词问题</groupName>
      <ability>L2_Alias</ability>
      <abilityName>也作/曾用词</abilityName>
      <candidateList>
        <item>佩戴</item>
      </candidateList>
      <explain>词汇[配带]为不规范表述或旧称，其规范书面表述为[佩戴]。</explain>
      <paraID>5AFF0A12</paraID>
      <start>26</start>
      <end>28</end>
      <status>ignored</status>
      <modifiedWord/>
      <trackRevisions>false</trackRevisions>
    </reviewItem>
    <reviewItem>
      <errorID>fe5124aa-12f4-408f-a553-777c5e373453</errorID>
      <errorWord>选用选用</errorWord>
      <group>L1_Word</group>
      <groupName>字词问题</groupName>
      <ability>L2_Typo</ability>
      <abilityName>字词错误</abilityName>
      <candidateList>
        <item>选用</item>
      </candidateList>
      <explain/>
      <paraID>2D5709C5</paraID>
      <start>17</start>
      <end>19</end>
      <status>modified</status>
      <modifiedWord>选用</modifiedWord>
      <trackRevisions>false</trackRevisions>
    </reviewItem>
    <reviewItem>
      <errorID>c1e05d8a-1d71-4a05-98a4-81c728a7cdd9</errorID>
      <errorWord>的</errorWord>
      <group>L1_Word</group>
      <groupName>字词问题</groupName>
      <ability>L2_DDD</ability>
      <abilityName>的地得用法</abilityName>
      <candidateList>
        <item>得</item>
      </candidateList>
      <explain/>
      <paraID>7EE08A45</paraID>
      <start>1</start>
      <end>2</end>
      <status>modified</status>
      <modifiedWord>得</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dabf0d-43e6-4932-917e-dbeb5d713b15}">
  <ds:schemaRefs/>
</ds:datastoreItem>
</file>

<file path=docProps/app.xml><?xml version="1.0" encoding="utf-8"?>
<Properties xmlns="http://schemas.openxmlformats.org/officeDocument/2006/extended-properties" xmlns:vt="http://schemas.openxmlformats.org/officeDocument/2006/docPropsVTypes">
  <Template>Normal.dotm</Template>
  <Pages>9</Pages>
  <Words>4513</Words>
  <Characters>4732</Characters>
  <Lines>0</Lines>
  <Paragraphs>0</Paragraphs>
  <TotalTime>2</TotalTime>
  <ScaleCrop>false</ScaleCrop>
  <LinksUpToDate>false</LinksUpToDate>
  <CharactersWithSpaces>4746</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2024-08-06T11:24:00Z</dcterms:created>
  <dc:creator>Administrator</dc:creator>
  <cp:lastModifiedBy>刘刚</cp:lastModifiedBy>
  <cp:lastPrinted>2024-09-25T12:11:00Z</cp:lastPrinted>
  <dcterms:modified xsi:type="dcterms:W3CDTF">2026-07-30T10:31:01Z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F30808B8A6F84986ACABBA749962E8CF_13</vt:lpwstr>
  </property>
  <property fmtid="{D5CDD505-2E9C-101B-9397-08002B2CF9AE}" pid="4" name="KSOTemplateDocerSaveRecord">
    <vt:lpwstr>eyJoZGlkIjoiNGFiMWQ1NmQ0MGU4ODg4OGY2NDk2ODg0MDlhZTc0YjQiLCJ1c2VySWQiOiIzMzcyNzYwMDMifQ==</vt:lpwstr>
  </property>
</Properties>
</file>