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72113">
      <w:pPr>
        <w:spacing w:line="560" w:lineRule="exact"/>
        <w:jc w:val="right"/>
        <w:rPr>
          <w:rFonts w:hint="default" w:ascii="仿宋_GB2312" w:hAnsi="仿宋_GB2312" w:eastAsia="仿宋_GB2312" w:cs="仿宋_GB2312"/>
          <w:b/>
          <w:bCs/>
          <w:color w:val="auto"/>
          <w:kern w:val="21"/>
          <w:sz w:val="32"/>
          <w:szCs w:val="32"/>
          <w:highlight w:val="none"/>
          <w:lang w:val="en-US" w:eastAsia="zh-CN"/>
        </w:rPr>
      </w:pPr>
      <w:r>
        <w:rPr>
          <w:rFonts w:hint="eastAsia" w:ascii="仿宋_GB2312" w:hAnsi="仿宋_GB2312" w:eastAsia="仿宋_GB2312" w:cs="仿宋_GB2312"/>
          <w:b/>
          <w:bCs/>
          <w:kern w:val="21"/>
          <w:sz w:val="32"/>
          <w:szCs w:val="32"/>
        </w:rPr>
        <w:t>合同编号：</w:t>
      </w:r>
      <w:r>
        <w:rPr>
          <w:rFonts w:hint="eastAsia" w:ascii="仿宋_GB2312" w:hAnsi="仿宋_GB2312" w:eastAsia="仿宋_GB2312" w:cs="仿宋_GB2312"/>
          <w:b/>
          <w:bCs/>
          <w:color w:val="auto"/>
          <w:kern w:val="21"/>
          <w:sz w:val="32"/>
          <w:szCs w:val="32"/>
          <w:highlight w:val="none"/>
          <w:u w:val="single"/>
          <w:lang w:val="en-US" w:eastAsia="zh-CN"/>
        </w:rPr>
        <w:t xml:space="preserve">                     </w:t>
      </w:r>
      <w:r>
        <w:rPr>
          <w:rFonts w:hint="eastAsia" w:ascii="仿宋_GB2312" w:hAnsi="仿宋_GB2312" w:eastAsia="仿宋_GB2312" w:cs="仿宋_GB2312"/>
          <w:b/>
          <w:bCs/>
          <w:color w:val="auto"/>
          <w:kern w:val="21"/>
          <w:sz w:val="32"/>
          <w:szCs w:val="32"/>
          <w:highlight w:val="none"/>
          <w:lang w:val="en-US" w:eastAsia="zh-CN"/>
        </w:rPr>
        <w:t>号</w:t>
      </w:r>
    </w:p>
    <w:p w14:paraId="022E7767">
      <w:pPr>
        <w:pageBreakBefore w:val="0"/>
        <w:widowControl w:val="0"/>
        <w:kinsoku/>
        <w:wordWrap/>
        <w:overflowPunct/>
        <w:topLinePunct w:val="0"/>
        <w:autoSpaceDE/>
        <w:autoSpaceDN/>
        <w:bidi w:val="0"/>
        <w:spacing w:line="560" w:lineRule="exact"/>
        <w:ind w:firstLine="5140" w:firstLineChars="1600"/>
        <w:textAlignment w:val="auto"/>
        <w:rPr>
          <w:rFonts w:hint="default" w:ascii="仿宋_GB2312" w:hAnsi="仿宋_GB2312" w:eastAsia="仿宋_GB2312" w:cs="仿宋_GB2312"/>
          <w:b/>
          <w:bCs/>
          <w:kern w:val="21"/>
          <w:sz w:val="32"/>
          <w:szCs w:val="32"/>
          <w:lang w:val="en-US" w:eastAsia="zh-CN"/>
        </w:rPr>
      </w:pPr>
    </w:p>
    <w:p w14:paraId="42122866">
      <w:pPr>
        <w:keepNext w:val="0"/>
        <w:keepLines w:val="0"/>
        <w:pageBreakBefore w:val="0"/>
        <w:widowControl w:val="0"/>
        <w:kinsoku/>
        <w:wordWrap/>
        <w:overflowPunct/>
        <w:topLinePunct w:val="0"/>
        <w:autoSpaceDE/>
        <w:autoSpaceDN/>
        <w:bidi w:val="0"/>
        <w:adjustRightInd w:val="0"/>
        <w:snapToGrid/>
        <w:spacing w:line="560" w:lineRule="exact"/>
        <w:ind w:firstLine="883" w:firstLineChars="200"/>
        <w:textAlignment w:val="auto"/>
        <w:rPr>
          <w:rFonts w:hint="eastAsia" w:ascii="方正小标宋简体" w:hAnsi="方正小标宋简体" w:eastAsia="方正小标宋简体" w:cs="方正小标宋简体"/>
          <w:b/>
          <w:sz w:val="44"/>
          <w:szCs w:val="44"/>
          <w:lang w:eastAsia="zh-CN"/>
        </w:rPr>
      </w:pPr>
    </w:p>
    <w:p w14:paraId="3D9EFCB8">
      <w:pPr>
        <w:pStyle w:val="4"/>
        <w:rPr>
          <w:rFonts w:hint="eastAsia"/>
          <w:lang w:eastAsia="zh-CN"/>
        </w:rPr>
      </w:pPr>
    </w:p>
    <w:p w14:paraId="7FD5AD68">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华文中宋" w:hAnsi="华文中宋" w:eastAsia="华文中宋" w:cs="华文中宋"/>
          <w:kern w:val="21"/>
          <w:sz w:val="44"/>
          <w:szCs w:val="44"/>
        </w:rPr>
      </w:pPr>
    </w:p>
    <w:p w14:paraId="0AFDAECB">
      <w:pPr>
        <w:pStyle w:val="5"/>
        <w:rPr>
          <w:rFonts w:hint="eastAsia"/>
        </w:rPr>
      </w:pPr>
    </w:p>
    <w:p w14:paraId="2D90E9B1">
      <w:pPr>
        <w:spacing w:line="560" w:lineRule="exact"/>
        <w:jc w:val="center"/>
        <w:rPr>
          <w:rFonts w:hint="default" w:ascii="方正小标宋简体" w:hAnsi="方正小标宋简体" w:eastAsia="方正小标宋简体" w:cs="方正小标宋简体"/>
          <w:kern w:val="21"/>
          <w:sz w:val="44"/>
          <w:szCs w:val="44"/>
        </w:rPr>
      </w:pPr>
      <w:r>
        <w:rPr>
          <w:rFonts w:hint="eastAsia" w:ascii="方正小标宋_GBK" w:hAnsi="方正小标宋_GBK" w:eastAsia="方正小标宋_GBK" w:cs="方正小标宋_GBK"/>
          <w:color w:val="000000" w:themeColor="text1"/>
          <w:kern w:val="21"/>
          <w:sz w:val="52"/>
          <w:szCs w:val="52"/>
          <w:highlight w:val="none"/>
          <w14:textFill>
            <w14:solidFill>
              <w14:schemeClr w14:val="tx1"/>
            </w14:solidFill>
          </w14:textFill>
        </w:rPr>
        <w:t>农业生产托管服务合同</w:t>
      </w:r>
    </w:p>
    <w:p w14:paraId="56FAF69B">
      <w:pPr>
        <w:spacing w:line="620" w:lineRule="exact"/>
        <w:jc w:val="center"/>
        <w:rPr>
          <w:rFonts w:hint="eastAsia" w:ascii="方正小标宋简体" w:hAnsi="方正小标宋简体" w:eastAsia="方正小标宋简体" w:cs="方正小标宋简体"/>
          <w:kern w:val="21"/>
          <w:sz w:val="44"/>
          <w:szCs w:val="44"/>
          <w:lang w:eastAsia="zh-CN"/>
        </w:rPr>
      </w:pPr>
      <w:r>
        <w:rPr>
          <w:rFonts w:hint="eastAsia" w:ascii="方正小标宋简体" w:hAnsi="方正小标宋简体" w:eastAsia="方正小标宋简体" w:cs="方正小标宋简体"/>
          <w:kern w:val="21"/>
          <w:sz w:val="44"/>
          <w:szCs w:val="44"/>
          <w:lang w:eastAsia="zh-CN"/>
        </w:rPr>
        <w:t>（</w:t>
      </w:r>
      <w:r>
        <w:rPr>
          <w:rFonts w:hint="eastAsia" w:ascii="方正小标宋简体" w:hAnsi="方正小标宋简体" w:eastAsia="方正小标宋简体" w:cs="方正小标宋简体"/>
          <w:kern w:val="21"/>
          <w:sz w:val="44"/>
          <w:szCs w:val="44"/>
          <w:lang w:val="en-US" w:eastAsia="zh-CN"/>
        </w:rPr>
        <w:t>小麦</w:t>
      </w:r>
      <w:r>
        <w:rPr>
          <w:rFonts w:hint="eastAsia" w:ascii="方正小标宋简体" w:hAnsi="方正小标宋简体" w:eastAsia="方正小标宋简体" w:cs="方正小标宋简体"/>
          <w:kern w:val="21"/>
          <w:sz w:val="44"/>
          <w:szCs w:val="44"/>
          <w:lang w:eastAsia="zh-CN"/>
        </w:rPr>
        <w:t>）</w:t>
      </w:r>
    </w:p>
    <w:p w14:paraId="6B2D8033">
      <w:pPr>
        <w:spacing w:line="620" w:lineRule="exact"/>
        <w:jc w:val="center"/>
        <w:rPr>
          <w:rFonts w:hint="default" w:ascii="方正小标宋简体" w:hAnsi="方正小标宋简体" w:eastAsia="方正小标宋简体" w:cs="方正小标宋简体"/>
          <w:kern w:val="21"/>
          <w:sz w:val="44"/>
          <w:szCs w:val="44"/>
        </w:rPr>
      </w:pPr>
    </w:p>
    <w:p w14:paraId="2E7A2CF4">
      <w:pPr>
        <w:spacing w:line="620" w:lineRule="exact"/>
        <w:jc w:val="center"/>
        <w:rPr>
          <w:rFonts w:hint="default" w:ascii="方正小标宋简体" w:hAnsi="方正小标宋简体" w:eastAsia="方正小标宋简体" w:cs="方正小标宋简体"/>
          <w:kern w:val="21"/>
          <w:sz w:val="44"/>
          <w:szCs w:val="44"/>
        </w:rPr>
      </w:pPr>
    </w:p>
    <w:p w14:paraId="3ECD4E8C">
      <w:pPr>
        <w:spacing w:line="620" w:lineRule="exact"/>
        <w:jc w:val="both"/>
        <w:rPr>
          <w:rFonts w:hint="default" w:ascii="方正小标宋简体" w:hAnsi="方正小标宋简体" w:eastAsia="方正小标宋简体" w:cs="方正小标宋简体"/>
          <w:kern w:val="21"/>
          <w:sz w:val="44"/>
          <w:szCs w:val="44"/>
        </w:rPr>
      </w:pPr>
    </w:p>
    <w:p w14:paraId="4256FEEE">
      <w:pPr>
        <w:spacing w:line="620" w:lineRule="exact"/>
        <w:rPr>
          <w:rFonts w:hint="eastAsia" w:ascii="仿宋_GB2312" w:hAnsi="仿宋_GB2312" w:eastAsia="仿宋_GB2312" w:cs="仿宋_GB2312"/>
          <w:kern w:val="21"/>
          <w:sz w:val="32"/>
          <w:szCs w:val="32"/>
        </w:rPr>
      </w:pPr>
    </w:p>
    <w:p w14:paraId="2748382B">
      <w:pPr>
        <w:keepNext w:val="0"/>
        <w:keepLines w:val="0"/>
        <w:pageBreakBefore w:val="0"/>
        <w:widowControl w:val="0"/>
        <w:kinsoku/>
        <w:wordWrap/>
        <w:overflowPunct/>
        <w:topLinePunct w:val="0"/>
        <w:autoSpaceDE/>
        <w:autoSpaceDN/>
        <w:bidi w:val="0"/>
        <w:adjustRightInd w:val="0"/>
        <w:snapToGrid/>
        <w:spacing w:line="600" w:lineRule="auto"/>
        <w:ind w:left="638" w:leftChars="304" w:firstLine="0" w:firstLineChars="0"/>
        <w:textAlignment w:val="auto"/>
        <w:rPr>
          <w:rFonts w:hint="default" w:ascii="仿宋_GB2312" w:hAnsi="仿宋_GB2312" w:eastAsia="仿宋_GB2312" w:cs="仿宋_GB2312"/>
          <w:kern w:val="21"/>
          <w:sz w:val="32"/>
          <w:szCs w:val="32"/>
          <w:lang w:val="en-US" w:eastAsia="zh-CN"/>
        </w:rPr>
      </w:pPr>
      <w:r>
        <w:rPr>
          <w:rFonts w:hint="eastAsia" w:ascii="仿宋_GB2312" w:hAnsi="仿宋_GB2312" w:eastAsia="仿宋_GB2312" w:cs="仿宋_GB2312"/>
          <w:kern w:val="21"/>
          <w:sz w:val="32"/>
          <w:szCs w:val="32"/>
        </w:rPr>
        <w:t>甲方（接受服务方）：</w:t>
      </w:r>
      <w:r>
        <w:rPr>
          <w:rFonts w:hint="eastAsia" w:ascii="仿宋_GB2312" w:hAnsi="仿宋_GB2312" w:eastAsia="仿宋_GB2312" w:cs="仿宋_GB2312"/>
          <w:kern w:val="21"/>
          <w:sz w:val="32"/>
          <w:szCs w:val="32"/>
          <w:u w:val="single"/>
          <w:lang w:val="en-US" w:eastAsia="zh-CN"/>
        </w:rPr>
        <w:t xml:space="preserve">     陈XX</w:t>
      </w:r>
      <w:r>
        <w:rPr>
          <w:rFonts w:hint="eastAsia" w:ascii="仿宋_GB2312" w:hAnsi="仿宋_GB2312" w:eastAsia="仿宋_GB2312" w:cs="仿宋_GB2312"/>
          <w:kern w:val="21"/>
          <w:sz w:val="32"/>
          <w:szCs w:val="32"/>
          <w:u w:val="single"/>
        </w:rPr>
        <w:t xml:space="preserve"> </w:t>
      </w:r>
      <w:r>
        <w:rPr>
          <w:rFonts w:hint="eastAsia" w:ascii="仿宋_GB2312" w:hAnsi="仿宋_GB2312" w:eastAsia="仿宋_GB2312" w:cs="仿宋_GB2312"/>
          <w:kern w:val="21"/>
          <w:sz w:val="32"/>
          <w:szCs w:val="32"/>
          <w:u w:val="single"/>
          <w:lang w:val="en-US" w:eastAsia="zh-CN"/>
        </w:rPr>
        <w:t xml:space="preserve">      </w:t>
      </w:r>
    </w:p>
    <w:p w14:paraId="46582D78">
      <w:pPr>
        <w:keepNext w:val="0"/>
        <w:keepLines w:val="0"/>
        <w:pageBreakBefore w:val="0"/>
        <w:widowControl w:val="0"/>
        <w:kinsoku/>
        <w:wordWrap/>
        <w:overflowPunct/>
        <w:topLinePunct w:val="0"/>
        <w:autoSpaceDE/>
        <w:autoSpaceDN/>
        <w:bidi w:val="0"/>
        <w:adjustRightInd w:val="0"/>
        <w:snapToGrid/>
        <w:spacing w:line="600" w:lineRule="auto"/>
        <w:ind w:left="638" w:leftChars="304" w:firstLine="0" w:firstLineChars="0"/>
        <w:jc w:val="left"/>
        <w:textAlignment w:val="auto"/>
        <w:rPr>
          <w:rFonts w:hint="default" w:ascii="仿宋_GB2312" w:hAnsi="仿宋_GB2312" w:eastAsia="仿宋_GB2312" w:cs="仿宋_GB2312"/>
          <w:kern w:val="21"/>
          <w:sz w:val="32"/>
          <w:szCs w:val="32"/>
          <w:u w:val="single"/>
          <w:lang w:val="en-US"/>
        </w:rPr>
      </w:pPr>
      <w:r>
        <w:rPr>
          <w:rFonts w:hint="eastAsia" w:ascii="仿宋_GB2312" w:hAnsi="仿宋_GB2312" w:eastAsia="仿宋_GB2312" w:cs="仿宋_GB2312"/>
          <w:spacing w:val="-6"/>
          <w:kern w:val="21"/>
          <w:sz w:val="32"/>
          <w:szCs w:val="32"/>
        </w:rPr>
        <w:t>乙方（提供服务方）：</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spacing w:val="-6"/>
          <w:kern w:val="21"/>
          <w:sz w:val="32"/>
          <w:szCs w:val="32"/>
          <w:u w:val="single"/>
          <w:lang w:val="en-US" w:eastAsia="zh-CN"/>
        </w:rPr>
        <w:t>农民专业合作社</w:t>
      </w:r>
    </w:p>
    <w:p w14:paraId="7C24AFD3">
      <w:pPr>
        <w:keepNext w:val="0"/>
        <w:keepLines w:val="0"/>
        <w:pageBreakBefore w:val="0"/>
        <w:widowControl w:val="0"/>
        <w:kinsoku/>
        <w:wordWrap/>
        <w:overflowPunct/>
        <w:topLinePunct w:val="0"/>
        <w:autoSpaceDE/>
        <w:autoSpaceDN/>
        <w:bidi w:val="0"/>
        <w:adjustRightInd w:val="0"/>
        <w:snapToGrid/>
        <w:spacing w:line="600" w:lineRule="auto"/>
        <w:ind w:left="638" w:leftChars="304" w:firstLine="0" w:firstLineChars="0"/>
        <w:textAlignment w:val="auto"/>
        <w:rPr>
          <w:rFonts w:hint="eastAsia" w:ascii="仿宋_GB2312" w:hAnsi="仿宋_GB2312" w:eastAsia="仿宋_GB2312" w:cs="仿宋_GB2312"/>
          <w:kern w:val="21"/>
          <w:sz w:val="32"/>
          <w:szCs w:val="32"/>
          <w:lang w:eastAsia="zh-CN"/>
        </w:rPr>
      </w:pPr>
    </w:p>
    <w:p w14:paraId="1F8B7916">
      <w:pPr>
        <w:keepNext w:val="0"/>
        <w:keepLines w:val="0"/>
        <w:pageBreakBefore w:val="0"/>
        <w:widowControl w:val="0"/>
        <w:kinsoku/>
        <w:wordWrap/>
        <w:overflowPunct/>
        <w:topLinePunct w:val="0"/>
        <w:autoSpaceDE/>
        <w:autoSpaceDN/>
        <w:bidi w:val="0"/>
        <w:adjustRightInd w:val="0"/>
        <w:snapToGrid/>
        <w:spacing w:line="600" w:lineRule="auto"/>
        <w:ind w:left="638" w:leftChars="304" w:firstLine="0" w:firstLineChars="0"/>
        <w:jc w:val="center"/>
        <w:textAlignment w:val="auto"/>
        <w:rPr>
          <w:rFonts w:hint="eastAsia" w:ascii="仿宋_GB2312" w:hAnsi="仿宋_GB2312" w:eastAsia="仿宋_GB2312" w:cs="仿宋_GB2312"/>
          <w:kern w:val="21"/>
          <w:sz w:val="32"/>
          <w:szCs w:val="32"/>
          <w:lang w:eastAsia="zh-CN"/>
        </w:rPr>
      </w:pPr>
    </w:p>
    <w:p w14:paraId="0929388A">
      <w:pPr>
        <w:keepNext w:val="0"/>
        <w:keepLines w:val="0"/>
        <w:pageBreakBefore w:val="0"/>
        <w:widowControl w:val="0"/>
        <w:kinsoku/>
        <w:wordWrap/>
        <w:overflowPunct/>
        <w:topLinePunct w:val="0"/>
        <w:autoSpaceDE/>
        <w:autoSpaceDN/>
        <w:bidi w:val="0"/>
        <w:adjustRightInd w:val="0"/>
        <w:snapToGrid/>
        <w:spacing w:line="600" w:lineRule="auto"/>
        <w:ind w:left="638" w:leftChars="304" w:firstLine="0" w:firstLineChars="0"/>
        <w:jc w:val="center"/>
        <w:textAlignment w:val="auto"/>
        <w:rPr>
          <w:rFonts w:hint="eastAsia" w:ascii="仿宋_GB2312" w:hAnsi="仿宋_GB2312" w:eastAsia="仿宋_GB2312" w:cs="仿宋_GB2312"/>
          <w:kern w:val="21"/>
          <w:sz w:val="32"/>
          <w:szCs w:val="32"/>
          <w:lang w:eastAsia="zh-CN"/>
        </w:rPr>
      </w:pPr>
    </w:p>
    <w:p w14:paraId="599BF21D">
      <w:pPr>
        <w:keepNext w:val="0"/>
        <w:keepLines w:val="0"/>
        <w:pageBreakBefore w:val="0"/>
        <w:widowControl w:val="0"/>
        <w:kinsoku/>
        <w:wordWrap/>
        <w:overflowPunct/>
        <w:topLinePunct w:val="0"/>
        <w:autoSpaceDE/>
        <w:autoSpaceDN/>
        <w:bidi w:val="0"/>
        <w:adjustRightInd w:val="0"/>
        <w:snapToGrid/>
        <w:spacing w:line="600" w:lineRule="auto"/>
        <w:jc w:val="center"/>
        <w:textAlignment w:val="auto"/>
        <w:rPr>
          <w:rFonts w:hint="eastAsia" w:ascii="方正小标宋简体" w:hAnsi="方正小标宋简体" w:eastAsia="方正小标宋简体" w:cs="方正小标宋简体"/>
          <w:b/>
          <w:sz w:val="44"/>
          <w:szCs w:val="44"/>
          <w:lang w:eastAsia="zh-CN"/>
        </w:rPr>
      </w:pPr>
      <w:r>
        <w:rPr>
          <w:rFonts w:hint="eastAsia" w:ascii="仿宋_GB2312" w:hAnsi="仿宋_GB2312" w:eastAsia="仿宋_GB2312" w:cs="仿宋_GB2312"/>
          <w:kern w:val="21"/>
          <w:sz w:val="32"/>
          <w:szCs w:val="32"/>
          <w:lang w:eastAsia="zh-CN"/>
        </w:rPr>
        <w:t>签订时间</w:t>
      </w:r>
      <w:r>
        <w:rPr>
          <w:rFonts w:hint="eastAsia" w:ascii="仿宋_GB2312" w:hAnsi="仿宋_GB2312" w:eastAsia="仿宋_GB2312" w:cs="仿宋_GB2312"/>
          <w:kern w:val="21"/>
          <w:sz w:val="32"/>
          <w:szCs w:val="32"/>
        </w:rPr>
        <w:t>：</w:t>
      </w:r>
      <w:r>
        <w:rPr>
          <w:rFonts w:hint="eastAsia" w:ascii="仿宋_GB2312" w:hAnsi="仿宋_GB2312" w:eastAsia="仿宋_GB2312" w:cs="仿宋_GB2312"/>
          <w:kern w:val="21"/>
          <w:sz w:val="32"/>
          <w:szCs w:val="32"/>
          <w:u w:val="single"/>
          <w:lang w:val="en-US" w:eastAsia="zh-CN"/>
        </w:rPr>
        <w:t xml:space="preserve">        </w:t>
      </w:r>
      <w:r>
        <w:rPr>
          <w:rFonts w:hint="eastAsia" w:ascii="仿宋_GB2312" w:hAnsi="仿宋_GB2312" w:eastAsia="仿宋_GB2312" w:cs="仿宋_GB2312"/>
          <w:kern w:val="21"/>
          <w:sz w:val="32"/>
          <w:szCs w:val="32"/>
          <w:lang w:val="en-US" w:eastAsia="zh-CN"/>
        </w:rPr>
        <w:t>年</w:t>
      </w:r>
      <w:r>
        <w:rPr>
          <w:rFonts w:hint="eastAsia" w:ascii="仿宋_GB2312" w:hAnsi="仿宋_GB2312" w:eastAsia="仿宋_GB2312" w:cs="仿宋_GB2312"/>
          <w:kern w:val="21"/>
          <w:sz w:val="32"/>
          <w:szCs w:val="32"/>
          <w:u w:val="single"/>
          <w:lang w:val="en-US" w:eastAsia="zh-CN"/>
        </w:rPr>
        <w:t xml:space="preserve">     </w:t>
      </w:r>
      <w:r>
        <w:rPr>
          <w:rFonts w:hint="eastAsia" w:ascii="仿宋_GB2312" w:hAnsi="仿宋_GB2312" w:eastAsia="仿宋_GB2312" w:cs="仿宋_GB2312"/>
          <w:kern w:val="21"/>
          <w:sz w:val="32"/>
          <w:szCs w:val="32"/>
          <w:lang w:val="en-US" w:eastAsia="zh-CN"/>
        </w:rPr>
        <w:t>月</w:t>
      </w:r>
      <w:r>
        <w:rPr>
          <w:rFonts w:hint="eastAsia" w:ascii="仿宋_GB2312" w:hAnsi="仿宋_GB2312" w:eastAsia="仿宋_GB2312" w:cs="仿宋_GB2312"/>
          <w:kern w:val="21"/>
          <w:sz w:val="32"/>
          <w:szCs w:val="32"/>
          <w:u w:val="single"/>
          <w:lang w:val="en-US" w:eastAsia="zh-CN"/>
        </w:rPr>
        <w:t xml:space="preserve">     </w:t>
      </w:r>
      <w:r>
        <w:rPr>
          <w:rFonts w:hint="eastAsia" w:ascii="仿宋_GB2312" w:hAnsi="仿宋_GB2312" w:eastAsia="仿宋_GB2312" w:cs="仿宋_GB2312"/>
          <w:kern w:val="21"/>
          <w:sz w:val="32"/>
          <w:szCs w:val="32"/>
          <w:lang w:val="en-US" w:eastAsia="zh-CN"/>
        </w:rPr>
        <w:t>日</w:t>
      </w:r>
    </w:p>
    <w:p w14:paraId="375797D5">
      <w:pPr>
        <w:keepNext w:val="0"/>
        <w:keepLines w:val="0"/>
        <w:pageBreakBefore w:val="0"/>
        <w:widowControl w:val="0"/>
        <w:kinsoku/>
        <w:wordWrap/>
        <w:overflowPunct/>
        <w:topLinePunct w:val="0"/>
        <w:autoSpaceDE/>
        <w:autoSpaceDN/>
        <w:bidi w:val="0"/>
        <w:adjustRightInd w:val="0"/>
        <w:snapToGrid/>
        <w:spacing w:line="560" w:lineRule="exact"/>
        <w:ind w:firstLine="883" w:firstLineChars="200"/>
        <w:textAlignment w:val="auto"/>
        <w:rPr>
          <w:rFonts w:hint="eastAsia" w:ascii="方正小标宋简体" w:hAnsi="方正小标宋简体" w:eastAsia="方正小标宋简体" w:cs="方正小标宋简体"/>
          <w:b/>
          <w:sz w:val="44"/>
          <w:szCs w:val="44"/>
          <w:lang w:eastAsia="zh-CN"/>
        </w:rPr>
      </w:pPr>
    </w:p>
    <w:p w14:paraId="46513323">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eastAsia" w:ascii="方正小标宋简体" w:hAnsi="方正小标宋简体" w:eastAsia="方正小标宋简体" w:cs="方正小标宋简体"/>
          <w:b/>
          <w:sz w:val="44"/>
          <w:szCs w:val="44"/>
          <w:lang w:eastAsia="zh-CN"/>
        </w:rPr>
      </w:pPr>
    </w:p>
    <w:p w14:paraId="1BB04F8B">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eastAsia="zh-CN"/>
        </w:rPr>
        <w:t>轮台县</w:t>
      </w:r>
      <w:r>
        <w:rPr>
          <w:rFonts w:hint="eastAsia" w:ascii="方正小标宋简体" w:hAnsi="方正小标宋简体" w:eastAsia="方正小标宋简体" w:cs="方正小标宋简体"/>
          <w:b/>
          <w:sz w:val="44"/>
          <w:szCs w:val="44"/>
        </w:rPr>
        <w:t>农业生产托管服务合同</w:t>
      </w:r>
    </w:p>
    <w:p w14:paraId="589B4CE0">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b/>
          <w:sz w:val="44"/>
          <w:szCs w:val="44"/>
        </w:rPr>
      </w:pPr>
    </w:p>
    <w:p w14:paraId="2C7BA046">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1"/>
          <w:sz w:val="32"/>
          <w:szCs w:val="32"/>
          <w:u w:val="single"/>
          <w:lang w:val="en-US" w:eastAsia="zh-CN"/>
        </w:rPr>
      </w:pPr>
      <w:r>
        <w:rPr>
          <w:rFonts w:hint="eastAsia" w:ascii="仿宋_GB2312" w:hAnsi="仿宋_GB2312" w:eastAsia="仿宋_GB2312" w:cs="仿宋_GB2312"/>
          <w:b/>
          <w:bCs/>
          <w:kern w:val="21"/>
          <w:sz w:val="32"/>
          <w:szCs w:val="32"/>
        </w:rPr>
        <w:t>甲方</w:t>
      </w:r>
      <w:r>
        <w:rPr>
          <w:rFonts w:hint="eastAsia" w:ascii="仿宋_GB2312" w:hAnsi="仿宋_GB2312" w:eastAsia="仿宋_GB2312" w:cs="仿宋_GB2312"/>
          <w:kern w:val="21"/>
          <w:sz w:val="32"/>
          <w:szCs w:val="32"/>
        </w:rPr>
        <w:t>（接受服务方）：</w:t>
      </w:r>
      <w:r>
        <w:rPr>
          <w:rFonts w:hint="eastAsia" w:ascii="仿宋_GB2312" w:hAnsi="仿宋_GB2312" w:eastAsia="仿宋_GB2312" w:cs="仿宋_GB2312"/>
          <w:kern w:val="21"/>
          <w:sz w:val="32"/>
          <w:szCs w:val="32"/>
          <w:u w:val="single"/>
          <w:lang w:val="en-US" w:eastAsia="zh-CN"/>
        </w:rPr>
        <w:t xml:space="preserve"> 陈XX</w:t>
      </w:r>
    </w:p>
    <w:p w14:paraId="5C132863">
      <w:pPr>
        <w:keepNext w:val="0"/>
        <w:keepLines w:val="0"/>
        <w:pageBreakBefore w:val="0"/>
        <w:kinsoku/>
        <w:overflowPunct/>
        <w:topLinePunct w:val="0"/>
        <w:autoSpaceDE/>
        <w:autoSpaceDN/>
        <w:bidi w:val="0"/>
        <w:adjustRightInd/>
        <w:snapToGrid/>
        <w:spacing w:line="560" w:lineRule="exact"/>
        <w:textAlignment w:val="auto"/>
        <w:rPr>
          <w:rFonts w:ascii="仿宋_GB2312" w:hAnsi="仿宋_GB2312" w:eastAsia="仿宋_GB2312" w:cs="仿宋_GB2312"/>
          <w:kern w:val="21"/>
          <w:sz w:val="32"/>
          <w:szCs w:val="32"/>
        </w:rPr>
      </w:pPr>
      <w:r>
        <w:rPr>
          <w:rFonts w:hint="eastAsia" w:ascii="仿宋_GB2312" w:hAnsi="仿宋_GB2312" w:eastAsia="仿宋_GB2312" w:cs="仿宋_GB2312"/>
          <w:kern w:val="21"/>
          <w:sz w:val="32"/>
          <w:szCs w:val="32"/>
        </w:rPr>
        <w:t>法定代表人</w:t>
      </w:r>
      <w:r>
        <w:rPr>
          <w:rFonts w:hint="eastAsia" w:ascii="仿宋_GB2312" w:hAnsi="仿宋_GB2312" w:eastAsia="仿宋_GB2312" w:cs="仿宋_GB2312"/>
          <w:kern w:val="21"/>
          <w:sz w:val="32"/>
          <w:szCs w:val="32"/>
          <w:lang w:eastAsia="zh-CN"/>
        </w:rPr>
        <w:t>及</w:t>
      </w:r>
      <w:r>
        <w:rPr>
          <w:rFonts w:hint="eastAsia" w:ascii="仿宋_GB2312" w:hAnsi="仿宋_GB2312" w:eastAsia="仿宋_GB2312" w:cs="仿宋_GB2312"/>
          <w:kern w:val="21"/>
          <w:sz w:val="32"/>
          <w:szCs w:val="32"/>
        </w:rPr>
        <w:t>身份证号：</w:t>
      </w:r>
      <w:r>
        <w:rPr>
          <w:rFonts w:hint="eastAsia" w:ascii="仿宋_GB2312" w:hAnsi="仿宋_GB2312" w:eastAsia="仿宋_GB2312" w:cs="仿宋_GB2312"/>
          <w:kern w:val="21"/>
          <w:sz w:val="32"/>
          <w:szCs w:val="32"/>
          <w:u w:val="single"/>
          <w:lang w:val="en-US" w:eastAsia="zh-CN"/>
        </w:rPr>
        <w:t>5XX</w:t>
      </w:r>
    </w:p>
    <w:p w14:paraId="228999DD">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1"/>
          <w:sz w:val="32"/>
          <w:szCs w:val="32"/>
        </w:rPr>
      </w:pPr>
      <w:r>
        <w:rPr>
          <w:rFonts w:hint="eastAsia" w:ascii="仿宋_GB2312" w:hAnsi="仿宋_GB2312" w:eastAsia="仿宋_GB2312" w:cs="仿宋_GB2312"/>
          <w:kern w:val="21"/>
          <w:sz w:val="32"/>
          <w:szCs w:val="32"/>
        </w:rPr>
        <w:t>地址：</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kern w:val="21"/>
          <w:sz w:val="32"/>
          <w:szCs w:val="32"/>
        </w:rPr>
        <w:t xml:space="preserve">  </w:t>
      </w:r>
    </w:p>
    <w:p w14:paraId="17F2576E">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1"/>
          <w:sz w:val="32"/>
          <w:szCs w:val="32"/>
          <w:u w:val="single"/>
          <w:lang w:val="en-US" w:eastAsia="zh-CN"/>
        </w:rPr>
      </w:pPr>
      <w:r>
        <w:rPr>
          <w:rFonts w:hint="eastAsia" w:ascii="仿宋_GB2312" w:hAnsi="仿宋_GB2312" w:eastAsia="仿宋_GB2312" w:cs="仿宋_GB2312"/>
          <w:kern w:val="21"/>
          <w:sz w:val="32"/>
          <w:szCs w:val="32"/>
        </w:rPr>
        <w:t>联系方式：</w:t>
      </w:r>
      <w:r>
        <w:rPr>
          <w:rFonts w:hint="eastAsia" w:ascii="仿宋_GB2312" w:hAnsi="仿宋_GB2312" w:eastAsia="仿宋_GB2312" w:cs="仿宋_GB2312"/>
          <w:kern w:val="21"/>
          <w:sz w:val="32"/>
          <w:szCs w:val="32"/>
          <w:u w:val="single"/>
          <w:lang w:val="en-US" w:eastAsia="zh-CN"/>
        </w:rPr>
        <w:t>XX</w:t>
      </w:r>
    </w:p>
    <w:p w14:paraId="7E98AD0F">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1"/>
          <w:sz w:val="32"/>
          <w:szCs w:val="32"/>
          <w:u w:val="single"/>
        </w:rPr>
      </w:pPr>
      <w:r>
        <w:rPr>
          <w:rFonts w:hint="eastAsia" w:ascii="仿宋_GB2312" w:hAnsi="仿宋_GB2312" w:eastAsia="仿宋_GB2312" w:cs="仿宋_GB2312"/>
          <w:b/>
          <w:bCs/>
          <w:kern w:val="21"/>
          <w:sz w:val="32"/>
          <w:szCs w:val="32"/>
        </w:rPr>
        <w:t>乙方</w:t>
      </w:r>
      <w:r>
        <w:rPr>
          <w:rFonts w:hint="eastAsia" w:ascii="仿宋_GB2312" w:hAnsi="仿宋_GB2312" w:eastAsia="仿宋_GB2312" w:cs="仿宋_GB2312"/>
          <w:kern w:val="21"/>
          <w:sz w:val="32"/>
          <w:szCs w:val="32"/>
        </w:rPr>
        <w:t>（提供服务方）：</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kern w:val="21"/>
          <w:sz w:val="32"/>
          <w:szCs w:val="32"/>
          <w:u w:val="single"/>
        </w:rPr>
        <w:t>农民专业合作社</w:t>
      </w:r>
    </w:p>
    <w:p w14:paraId="39C507B9">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1"/>
          <w:sz w:val="32"/>
          <w:szCs w:val="32"/>
          <w:lang w:val="en-US" w:eastAsia="zh-CN"/>
        </w:rPr>
      </w:pPr>
      <w:r>
        <w:rPr>
          <w:rFonts w:hint="eastAsia" w:ascii="仿宋_GB2312" w:hAnsi="仿宋_GB2312" w:eastAsia="仿宋_GB2312" w:cs="仿宋_GB2312"/>
          <w:kern w:val="21"/>
          <w:sz w:val="32"/>
          <w:szCs w:val="32"/>
        </w:rPr>
        <w:t>法定代表人</w:t>
      </w:r>
      <w:r>
        <w:rPr>
          <w:rFonts w:hint="eastAsia" w:ascii="仿宋_GB2312" w:hAnsi="仿宋_GB2312" w:eastAsia="仿宋_GB2312" w:cs="仿宋_GB2312"/>
          <w:kern w:val="21"/>
          <w:sz w:val="32"/>
          <w:szCs w:val="32"/>
          <w:lang w:eastAsia="zh-CN"/>
        </w:rPr>
        <w:t>及</w:t>
      </w:r>
      <w:r>
        <w:rPr>
          <w:rFonts w:hint="eastAsia" w:ascii="仿宋_GB2312" w:hAnsi="仿宋_GB2312" w:eastAsia="仿宋_GB2312" w:cs="仿宋_GB2312"/>
          <w:kern w:val="21"/>
          <w:sz w:val="32"/>
          <w:szCs w:val="32"/>
        </w:rPr>
        <w:t>身份证号：</w:t>
      </w:r>
      <w:r>
        <w:rPr>
          <w:rFonts w:hint="eastAsia" w:ascii="仿宋_GB2312" w:hAnsi="仿宋_GB2312" w:eastAsia="仿宋_GB2312" w:cs="仿宋_GB2312"/>
          <w:kern w:val="21"/>
          <w:sz w:val="32"/>
          <w:szCs w:val="32"/>
          <w:u w:val="single"/>
          <w:lang w:val="en-US" w:eastAsia="zh-CN"/>
        </w:rPr>
        <w:t>XXXX</w:t>
      </w:r>
    </w:p>
    <w:p w14:paraId="774A31C2">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1"/>
          <w:sz w:val="32"/>
          <w:szCs w:val="32"/>
        </w:rPr>
      </w:pPr>
      <w:r>
        <w:rPr>
          <w:rFonts w:hint="eastAsia" w:ascii="仿宋_GB2312" w:hAnsi="仿宋_GB2312" w:eastAsia="仿宋_GB2312" w:cs="仿宋_GB2312"/>
          <w:kern w:val="21"/>
          <w:sz w:val="32"/>
          <w:szCs w:val="32"/>
        </w:rPr>
        <w:t>地址：</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kern w:val="21"/>
          <w:sz w:val="32"/>
          <w:szCs w:val="32"/>
        </w:rPr>
        <w:t xml:space="preserve">   </w:t>
      </w:r>
    </w:p>
    <w:p w14:paraId="3DF18BE1">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1"/>
          <w:sz w:val="32"/>
          <w:szCs w:val="32"/>
          <w:u w:val="single"/>
        </w:rPr>
      </w:pPr>
      <w:r>
        <w:rPr>
          <w:rFonts w:hint="eastAsia" w:ascii="仿宋_GB2312" w:hAnsi="仿宋_GB2312" w:eastAsia="仿宋_GB2312" w:cs="仿宋_GB2312"/>
          <w:kern w:val="21"/>
          <w:sz w:val="32"/>
          <w:szCs w:val="32"/>
        </w:rPr>
        <w:t>联系方式：</w:t>
      </w:r>
      <w:r>
        <w:rPr>
          <w:rFonts w:hint="eastAsia" w:ascii="仿宋_GB2312" w:hAnsi="仿宋_GB2312" w:eastAsia="仿宋_GB2312" w:cs="仿宋_GB2312"/>
          <w:kern w:val="21"/>
          <w:sz w:val="32"/>
          <w:szCs w:val="32"/>
          <w:u w:val="single"/>
          <w:lang w:val="en-US" w:eastAsia="zh-CN"/>
        </w:rPr>
        <w:t>XX</w:t>
      </w:r>
    </w:p>
    <w:p w14:paraId="41A1C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rPr>
      </w:pPr>
      <w:r>
        <w:rPr>
          <w:rFonts w:hint="eastAsia" w:ascii="仿宋_GB2312" w:hAnsi="仿宋_GB2312" w:eastAsia="仿宋_GB2312" w:cs="仿宋_GB2312"/>
          <w:kern w:val="21"/>
          <w:sz w:val="32"/>
          <w:szCs w:val="32"/>
        </w:rPr>
        <w:t>根据有关</w:t>
      </w:r>
      <w:r>
        <w:rPr>
          <w:rFonts w:hint="eastAsia" w:ascii="仿宋_GB2312" w:hAnsi="仿宋_GB2312" w:eastAsia="仿宋_GB2312" w:cs="仿宋_GB2312"/>
          <w:kern w:val="21"/>
          <w:sz w:val="32"/>
          <w:szCs w:val="32"/>
          <w:lang w:eastAsia="zh-CN"/>
        </w:rPr>
        <w:t>法律法规及政策规定</w:t>
      </w:r>
      <w:r>
        <w:rPr>
          <w:rFonts w:hint="eastAsia" w:ascii="仿宋_GB2312" w:hAnsi="仿宋_GB2312" w:eastAsia="仿宋_GB2312" w:cs="仿宋_GB2312"/>
          <w:kern w:val="21"/>
          <w:sz w:val="32"/>
          <w:szCs w:val="32"/>
        </w:rPr>
        <w:t>，甲乙双方本着平等、自愿、有偿的原则，就</w:t>
      </w:r>
      <w:r>
        <w:rPr>
          <w:rFonts w:hint="default" w:ascii="仿宋_GB2312" w:hAnsi="仿宋_GB2312" w:eastAsia="仿宋_GB2312" w:cs="仿宋_GB2312"/>
          <w:kern w:val="21"/>
          <w:sz w:val="32"/>
          <w:szCs w:val="32"/>
        </w:rPr>
        <w:t>农业</w:t>
      </w:r>
      <w:r>
        <w:rPr>
          <w:rFonts w:hint="eastAsia" w:ascii="仿宋_GB2312" w:hAnsi="仿宋_GB2312" w:eastAsia="仿宋_GB2312" w:cs="仿宋_GB2312"/>
          <w:kern w:val="21"/>
          <w:sz w:val="32"/>
          <w:szCs w:val="32"/>
        </w:rPr>
        <w:t>生产托管服务</w:t>
      </w:r>
      <w:r>
        <w:rPr>
          <w:rFonts w:hint="default" w:ascii="仿宋_GB2312" w:hAnsi="仿宋_GB2312" w:eastAsia="仿宋_GB2312" w:cs="仿宋_GB2312"/>
          <w:kern w:val="21"/>
          <w:sz w:val="32"/>
          <w:szCs w:val="32"/>
        </w:rPr>
        <w:t>有关事项</w:t>
      </w:r>
      <w:r>
        <w:rPr>
          <w:rFonts w:hint="eastAsia" w:ascii="仿宋_GB2312" w:hAnsi="仿宋_GB2312" w:eastAsia="仿宋_GB2312" w:cs="仿宋_GB2312"/>
          <w:kern w:val="21"/>
          <w:sz w:val="32"/>
          <w:szCs w:val="32"/>
        </w:rPr>
        <w:t>协商一致，订立本合同。</w:t>
      </w:r>
    </w:p>
    <w:p w14:paraId="4C1FAB4C">
      <w:pPr>
        <w:keepNext w:val="0"/>
        <w:keepLines w:val="0"/>
        <w:pageBreakBefore w:val="0"/>
        <w:numPr>
          <w:ilvl w:val="0"/>
          <w:numId w:val="3"/>
        </w:numPr>
        <w:kinsoku/>
        <w:overflowPunct/>
        <w:topLinePunct w:val="0"/>
        <w:autoSpaceDE/>
        <w:autoSpaceDN/>
        <w:bidi w:val="0"/>
        <w:adjustRightInd/>
        <w:snapToGrid/>
        <w:spacing w:line="560" w:lineRule="exact"/>
        <w:ind w:left="-10" w:leftChars="0" w:firstLine="640" w:firstLineChars="0"/>
        <w:textAlignment w:val="auto"/>
        <w:rPr>
          <w:rFonts w:hint="default" w:ascii="黑体" w:hAnsi="黑体" w:eastAsia="黑体" w:cs="黑体"/>
          <w:b/>
          <w:bCs/>
          <w:kern w:val="21"/>
          <w:sz w:val="32"/>
          <w:szCs w:val="32"/>
          <w:highlight w:val="none"/>
        </w:rPr>
      </w:pPr>
      <w:r>
        <w:rPr>
          <w:rFonts w:hint="default" w:ascii="黑体" w:hAnsi="黑体" w:eastAsia="黑体" w:cs="黑体"/>
          <w:b/>
          <w:bCs/>
          <w:kern w:val="21"/>
          <w:sz w:val="32"/>
          <w:szCs w:val="32"/>
          <w:highlight w:val="none"/>
        </w:rPr>
        <w:t>服务内容</w:t>
      </w:r>
    </w:p>
    <w:p w14:paraId="6CD9735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rPr>
      </w:pPr>
      <w:r>
        <w:rPr>
          <w:rFonts w:hint="eastAsia" w:ascii="仿宋_GB2312" w:hAnsi="仿宋_GB2312" w:eastAsia="仿宋_GB2312" w:cs="仿宋_GB2312"/>
          <w:kern w:val="21"/>
          <w:sz w:val="32"/>
          <w:szCs w:val="32"/>
        </w:rPr>
        <w:t>甲方</w:t>
      </w:r>
      <w:r>
        <w:rPr>
          <w:rFonts w:hint="default" w:ascii="仿宋_GB2312" w:hAnsi="仿宋_GB2312" w:eastAsia="仿宋_GB2312" w:cs="仿宋_GB2312"/>
          <w:kern w:val="21"/>
          <w:sz w:val="32"/>
          <w:szCs w:val="32"/>
        </w:rPr>
        <w:t>将</w:t>
      </w:r>
      <w:r>
        <w:rPr>
          <w:rFonts w:hint="eastAsia" w:ascii="仿宋_GB2312" w:hAnsi="仿宋_GB2312" w:eastAsia="仿宋_GB2312" w:cs="仿宋_GB2312"/>
          <w:kern w:val="21"/>
          <w:sz w:val="32"/>
          <w:szCs w:val="32"/>
          <w:u w:val="none"/>
          <w:lang w:eastAsia="zh-CN"/>
        </w:rPr>
        <w:t>轮台县</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kern w:val="21"/>
          <w:sz w:val="32"/>
          <w:szCs w:val="32"/>
        </w:rPr>
        <w:t>乡（镇）</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kern w:val="21"/>
          <w:sz w:val="32"/>
          <w:szCs w:val="32"/>
        </w:rPr>
        <w:t>村</w:t>
      </w:r>
      <w:r>
        <w:rPr>
          <w:rFonts w:hint="eastAsia" w:ascii="仿宋_GB2312" w:hAnsi="仿宋_GB2312" w:eastAsia="仿宋_GB2312" w:cs="仿宋_GB2312"/>
          <w:kern w:val="21"/>
          <w:sz w:val="32"/>
          <w:szCs w:val="32"/>
          <w:lang w:eastAsia="zh-CN"/>
        </w:rPr>
        <w:t>种植</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sz w:val="32"/>
          <w:szCs w:val="32"/>
          <w:lang w:val="en-US" w:eastAsia="zh-CN"/>
        </w:rPr>
        <w:t>亩小麦，其中冬麦</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亩，春麦</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亩</w:t>
      </w:r>
      <w:r>
        <w:rPr>
          <w:rFonts w:hint="eastAsia" w:ascii="仿宋_GB2312" w:hAnsi="仿宋_GB2312" w:eastAsia="仿宋_GB2312" w:cs="仿宋_GB2312"/>
          <w:kern w:val="21"/>
          <w:sz w:val="32"/>
          <w:szCs w:val="32"/>
        </w:rPr>
        <w:t>的</w:t>
      </w:r>
      <w:r>
        <w:rPr>
          <w:rFonts w:hint="eastAsia" w:ascii="仿宋_GB2312" w:hAnsi="仿宋_GB2312" w:eastAsia="仿宋_GB2312" w:cs="仿宋_GB2312"/>
          <w:b w:val="0"/>
          <w:bCs/>
          <w:color w:val="000000" w:themeColor="text1"/>
          <w:sz w:val="32"/>
          <w:szCs w:val="32"/>
          <w:highlight w:val="none"/>
          <w:u w:val="none"/>
          <w:lang w:val="en-US" w:eastAsia="zh-CN"/>
          <w14:textFill>
            <w14:solidFill>
              <w14:schemeClr w14:val="tx1"/>
            </w14:solidFill>
          </w14:textFill>
        </w:rPr>
        <w:sym w:font="Wingdings" w:char="00FE"/>
      </w:r>
      <w:r>
        <w:rPr>
          <w:rFonts w:hint="eastAsia" w:ascii="仿宋_GB2312" w:hAnsi="仿宋_GB2312" w:eastAsia="仿宋_GB2312" w:cs="仿宋_GB2312"/>
          <w:sz w:val="32"/>
          <w:szCs w:val="32"/>
          <w:u w:val="none"/>
          <w:lang w:val="en-US" w:eastAsia="zh-CN"/>
        </w:rPr>
        <w:t>耕、</w:t>
      </w:r>
      <w:r>
        <w:rPr>
          <w:rFonts w:hint="eastAsia" w:ascii="仿宋_GB2312" w:hAnsi="仿宋_GB2312" w:eastAsia="仿宋_GB2312" w:cs="仿宋_GB2312"/>
          <w:b w:val="0"/>
          <w:bCs/>
          <w:color w:val="000000" w:themeColor="text1"/>
          <w:sz w:val="32"/>
          <w:szCs w:val="32"/>
          <w:highlight w:val="none"/>
          <w:u w:val="none"/>
          <w:lang w:val="en-US" w:eastAsia="zh-CN"/>
          <w14:textFill>
            <w14:solidFill>
              <w14:schemeClr w14:val="tx1"/>
            </w14:solidFill>
          </w14:textFill>
        </w:rPr>
        <w:sym w:font="Wingdings" w:char="00FE"/>
      </w:r>
      <w:r>
        <w:rPr>
          <w:rFonts w:hint="eastAsia" w:ascii="仿宋_GB2312" w:hAnsi="仿宋_GB2312" w:eastAsia="仿宋_GB2312" w:cs="仿宋_GB2312"/>
          <w:sz w:val="32"/>
          <w:szCs w:val="32"/>
          <w:u w:val="none"/>
          <w:lang w:eastAsia="zh-CN"/>
        </w:rPr>
        <w:t>种</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b w:val="0"/>
          <w:bCs/>
          <w:color w:val="000000" w:themeColor="text1"/>
          <w:sz w:val="32"/>
          <w:szCs w:val="32"/>
          <w:highlight w:val="none"/>
          <w:u w:val="none"/>
          <w:lang w:val="en-US" w:eastAsia="zh-CN"/>
          <w14:textFill>
            <w14:solidFill>
              <w14:schemeClr w14:val="tx1"/>
            </w14:solidFill>
          </w14:textFill>
        </w:rPr>
        <w:sym w:font="Wingdings" w:char="00FE"/>
      </w:r>
      <w:r>
        <w:rPr>
          <w:rFonts w:hint="eastAsia" w:ascii="仿宋_GB2312" w:hAnsi="仿宋_GB2312" w:eastAsia="仿宋_GB2312" w:cs="仿宋_GB2312"/>
          <w:sz w:val="32"/>
          <w:szCs w:val="32"/>
          <w:u w:val="none"/>
          <w:lang w:eastAsia="zh-CN"/>
        </w:rPr>
        <w:t>防</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b w:val="0"/>
          <w:bCs/>
          <w:color w:val="000000" w:themeColor="text1"/>
          <w:sz w:val="32"/>
          <w:szCs w:val="32"/>
          <w:highlight w:val="none"/>
          <w:u w:val="none"/>
          <w:lang w:val="en-US" w:eastAsia="zh-CN"/>
          <w14:textFill>
            <w14:solidFill>
              <w14:schemeClr w14:val="tx1"/>
            </w14:solidFill>
          </w14:textFill>
        </w:rPr>
        <w:sym w:font="Wingdings" w:char="00FE"/>
      </w:r>
      <w:r>
        <w:rPr>
          <w:rFonts w:hint="eastAsia" w:ascii="仿宋_GB2312" w:hAnsi="仿宋_GB2312" w:eastAsia="仿宋_GB2312" w:cs="仿宋_GB2312"/>
          <w:sz w:val="32"/>
          <w:szCs w:val="32"/>
          <w:u w:val="none"/>
          <w:lang w:val="en-US" w:eastAsia="zh-CN"/>
        </w:rPr>
        <w:t>收</w:t>
      </w:r>
      <w:r>
        <w:rPr>
          <w:rFonts w:hint="eastAsia" w:ascii="仿宋_GB2312" w:hAnsi="仿宋_GB2312" w:eastAsia="仿宋_GB2312" w:cs="仿宋_GB2312"/>
          <w:sz w:val="32"/>
          <w:szCs w:val="32"/>
        </w:rPr>
        <w:t>委托给乙方开展农业生产托管服务</w:t>
      </w:r>
      <w:r>
        <w:rPr>
          <w:rFonts w:hint="eastAsia" w:ascii="仿宋_GB2312" w:hAnsi="仿宋_GB2312" w:eastAsia="仿宋_GB2312" w:cs="仿宋_GB2312"/>
          <w:kern w:val="21"/>
          <w:sz w:val="32"/>
          <w:szCs w:val="32"/>
        </w:rPr>
        <w:t>。</w:t>
      </w:r>
    </w:p>
    <w:p w14:paraId="57A47824">
      <w:pPr>
        <w:keepNext w:val="0"/>
        <w:keepLines w:val="0"/>
        <w:pageBreakBefore w:val="0"/>
        <w:numPr>
          <w:ilvl w:val="0"/>
          <w:numId w:val="0"/>
        </w:numPr>
        <w:kinsoku/>
        <w:wordWrap w:val="0"/>
        <w:overflowPunct/>
        <w:topLinePunct w:val="0"/>
        <w:autoSpaceDE/>
        <w:autoSpaceDN/>
        <w:bidi w:val="0"/>
        <w:adjustRightInd/>
        <w:snapToGrid/>
        <w:spacing w:line="560" w:lineRule="exact"/>
        <w:ind w:left="630" w:leftChars="0"/>
        <w:textAlignment w:val="auto"/>
        <w:rPr>
          <w:rFonts w:hint="eastAsia" w:ascii="黑体" w:hAnsi="黑体" w:eastAsia="黑体" w:cs="黑体"/>
          <w:b/>
          <w:bCs/>
          <w:kern w:val="21"/>
          <w:sz w:val="32"/>
          <w:szCs w:val="32"/>
          <w:lang w:eastAsia="zh-CN"/>
        </w:rPr>
      </w:pPr>
      <w:r>
        <w:rPr>
          <w:rFonts w:hint="eastAsia" w:ascii="黑体" w:hAnsi="黑体" w:eastAsia="黑体" w:cs="黑体"/>
          <w:b/>
          <w:bCs/>
          <w:kern w:val="21"/>
          <w:sz w:val="32"/>
          <w:szCs w:val="32"/>
          <w:lang w:val="en-US" w:eastAsia="zh-CN"/>
        </w:rPr>
        <w:t>第二条  服务</w:t>
      </w:r>
      <w:r>
        <w:rPr>
          <w:rFonts w:hint="default" w:ascii="黑体" w:hAnsi="黑体" w:eastAsia="黑体" w:cs="黑体"/>
          <w:b/>
          <w:bCs/>
          <w:kern w:val="21"/>
          <w:sz w:val="32"/>
          <w:szCs w:val="32"/>
          <w:lang w:eastAsia="zh-CN"/>
        </w:rPr>
        <w:t>标准</w:t>
      </w:r>
    </w:p>
    <w:p w14:paraId="50CB2D73">
      <w:pPr>
        <w:keepNext w:val="0"/>
        <w:keepLines w:val="0"/>
        <w:pageBreakBefore w:val="0"/>
        <w:kinsoku/>
        <w:wordWrap w:val="0"/>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FF0000"/>
          <w:kern w:val="21"/>
          <w:sz w:val="32"/>
          <w:szCs w:val="32"/>
          <w:lang w:eastAsia="zh-CN"/>
        </w:rPr>
      </w:pPr>
      <w:r>
        <w:rPr>
          <w:rFonts w:hint="default" w:ascii="仿宋_GB2312" w:hAnsi="仿宋_GB2312" w:eastAsia="仿宋_GB2312" w:cs="仿宋_GB2312"/>
          <w:kern w:val="21"/>
          <w:sz w:val="32"/>
          <w:szCs w:val="32"/>
        </w:rPr>
        <w:t>甲</w:t>
      </w:r>
      <w:r>
        <w:rPr>
          <w:rFonts w:hint="eastAsia" w:ascii="仿宋_GB2312" w:hAnsi="仿宋_GB2312" w:eastAsia="仿宋_GB2312" w:cs="仿宋_GB2312"/>
          <w:kern w:val="21"/>
          <w:sz w:val="32"/>
          <w:szCs w:val="32"/>
        </w:rPr>
        <w:t>乙</w:t>
      </w:r>
      <w:r>
        <w:rPr>
          <w:rFonts w:hint="default" w:ascii="仿宋_GB2312" w:hAnsi="仿宋_GB2312" w:eastAsia="仿宋_GB2312" w:cs="仿宋_GB2312"/>
          <w:kern w:val="21"/>
          <w:sz w:val="32"/>
          <w:szCs w:val="32"/>
        </w:rPr>
        <w:t>双</w:t>
      </w:r>
      <w:r>
        <w:rPr>
          <w:rFonts w:hint="eastAsia" w:ascii="仿宋_GB2312" w:hAnsi="仿宋_GB2312" w:eastAsia="仿宋_GB2312" w:cs="仿宋_GB2312"/>
          <w:kern w:val="21"/>
          <w:sz w:val="32"/>
          <w:szCs w:val="32"/>
        </w:rPr>
        <w:t>方</w:t>
      </w:r>
      <w:r>
        <w:rPr>
          <w:rFonts w:hint="default" w:ascii="仿宋_GB2312" w:hAnsi="仿宋_GB2312" w:eastAsia="仿宋_GB2312" w:cs="仿宋_GB2312"/>
          <w:kern w:val="21"/>
          <w:sz w:val="32"/>
          <w:szCs w:val="32"/>
        </w:rPr>
        <w:t>就服务的技术标准、质量标准等协商达成约定，</w:t>
      </w:r>
      <w:r>
        <w:rPr>
          <w:rFonts w:hint="eastAsia" w:ascii="仿宋_GB2312" w:hAnsi="仿宋_GB2312" w:eastAsia="仿宋_GB2312" w:cs="仿宋_GB2312"/>
          <w:kern w:val="21"/>
          <w:sz w:val="32"/>
          <w:szCs w:val="32"/>
          <w:lang w:eastAsia="zh-CN"/>
        </w:rPr>
        <w:t>作为本合同</w:t>
      </w:r>
      <w:r>
        <w:rPr>
          <w:rFonts w:hint="default" w:ascii="仿宋_GB2312" w:hAnsi="仿宋_GB2312" w:eastAsia="仿宋_GB2312" w:cs="仿宋_GB2312"/>
          <w:kern w:val="21"/>
          <w:sz w:val="32"/>
          <w:szCs w:val="32"/>
        </w:rPr>
        <w:t>附件，与本合同具有同等法律效力</w:t>
      </w:r>
      <w:r>
        <w:rPr>
          <w:rFonts w:hint="eastAsia" w:ascii="仿宋_GB2312" w:hAnsi="仿宋_GB2312" w:eastAsia="仿宋_GB2312" w:cs="仿宋_GB2312"/>
          <w:kern w:val="21"/>
          <w:sz w:val="32"/>
          <w:szCs w:val="32"/>
          <w:lang w:eastAsia="zh-CN"/>
        </w:rPr>
        <w:t>。</w:t>
      </w:r>
    </w:p>
    <w:p w14:paraId="7612E859">
      <w:pPr>
        <w:keepNext w:val="0"/>
        <w:keepLines w:val="0"/>
        <w:pageBreakBefore w:val="0"/>
        <w:kinsoku/>
        <w:wordWrap w:val="0"/>
        <w:overflowPunct/>
        <w:topLinePunct w:val="0"/>
        <w:autoSpaceDE/>
        <w:autoSpaceDN/>
        <w:bidi w:val="0"/>
        <w:adjustRightInd/>
        <w:snapToGrid/>
        <w:spacing w:line="560" w:lineRule="exact"/>
        <w:textAlignment w:val="auto"/>
        <w:rPr>
          <w:rFonts w:hint="default" w:ascii="楷体_GB2312" w:hAnsi="楷体_GB2312" w:eastAsia="楷体_GB2312" w:cs="楷体_GB2312"/>
          <w:b/>
          <w:kern w:val="21"/>
          <w:sz w:val="32"/>
          <w:szCs w:val="32"/>
        </w:rPr>
      </w:pPr>
      <w:r>
        <w:rPr>
          <w:rFonts w:hint="default" w:ascii="黑体" w:hAnsi="黑体" w:eastAsia="黑体" w:cs="黑体"/>
          <w:kern w:val="21"/>
          <w:sz w:val="32"/>
          <w:szCs w:val="32"/>
        </w:rPr>
        <w:t xml:space="preserve"> </w:t>
      </w:r>
      <w:r>
        <w:rPr>
          <w:rFonts w:hint="default" w:ascii="黑体" w:hAnsi="黑体" w:eastAsia="黑体" w:cs="黑体"/>
          <w:b/>
          <w:bCs/>
          <w:kern w:val="21"/>
          <w:sz w:val="32"/>
          <w:szCs w:val="32"/>
        </w:rPr>
        <w:t xml:space="preserve">   第</w:t>
      </w:r>
      <w:r>
        <w:rPr>
          <w:rFonts w:hint="eastAsia" w:ascii="黑体" w:hAnsi="黑体" w:eastAsia="黑体" w:cs="黑体"/>
          <w:b/>
          <w:bCs/>
          <w:kern w:val="21"/>
          <w:sz w:val="32"/>
          <w:szCs w:val="32"/>
          <w:lang w:eastAsia="zh-CN"/>
        </w:rPr>
        <w:t>三</w:t>
      </w:r>
      <w:r>
        <w:rPr>
          <w:rFonts w:hint="default" w:ascii="黑体" w:hAnsi="黑体" w:eastAsia="黑体" w:cs="黑体"/>
          <w:b/>
          <w:bCs/>
          <w:kern w:val="21"/>
          <w:sz w:val="32"/>
          <w:szCs w:val="32"/>
        </w:rPr>
        <w:t xml:space="preserve">条  </w:t>
      </w:r>
      <w:r>
        <w:rPr>
          <w:rFonts w:hint="eastAsia" w:ascii="黑体" w:hAnsi="黑体" w:eastAsia="黑体" w:cs="黑体"/>
          <w:b/>
          <w:bCs/>
          <w:kern w:val="21"/>
          <w:sz w:val="32"/>
          <w:szCs w:val="32"/>
        </w:rPr>
        <w:t>服务</w:t>
      </w:r>
      <w:r>
        <w:rPr>
          <w:rFonts w:hint="default" w:ascii="黑体" w:hAnsi="黑体" w:eastAsia="黑体" w:cs="黑体"/>
          <w:b/>
          <w:bCs/>
          <w:kern w:val="21"/>
          <w:sz w:val="32"/>
          <w:szCs w:val="32"/>
        </w:rPr>
        <w:t>期限</w:t>
      </w:r>
    </w:p>
    <w:p w14:paraId="2D14371C">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1"/>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1"/>
          <w:sz w:val="32"/>
          <w:szCs w:val="32"/>
          <w14:textFill>
            <w14:solidFill>
              <w14:schemeClr w14:val="tx1"/>
            </w14:solidFill>
          </w14:textFill>
        </w:rPr>
        <w:t>乙方</w:t>
      </w:r>
      <w:r>
        <w:rPr>
          <w:rFonts w:ascii="仿宋_GB2312" w:hAnsi="仿宋_GB2312" w:eastAsia="仿宋_GB2312" w:cs="仿宋_GB2312"/>
          <w:color w:val="000000" w:themeColor="text1"/>
          <w:kern w:val="21"/>
          <w:sz w:val="32"/>
          <w:szCs w:val="32"/>
          <w14:textFill>
            <w14:solidFill>
              <w14:schemeClr w14:val="tx1"/>
            </w14:solidFill>
          </w14:textFill>
        </w:rPr>
        <w:t>根据农时需要和生产技术要求</w:t>
      </w:r>
      <w:r>
        <w:rPr>
          <w:rFonts w:hint="eastAsia" w:ascii="仿宋_GB2312" w:hAnsi="仿宋_GB2312" w:eastAsia="仿宋_GB2312" w:cs="仿宋_GB2312"/>
          <w:color w:val="000000" w:themeColor="text1"/>
          <w:kern w:val="21"/>
          <w:sz w:val="32"/>
          <w:szCs w:val="32"/>
          <w:lang w:val="en-US" w:eastAsia="zh-CN"/>
          <w14:textFill>
            <w14:solidFill>
              <w14:schemeClr w14:val="tx1"/>
            </w14:solidFill>
          </w14:textFill>
        </w:rPr>
        <w:t>按时完成甲方委托的农业生产活动，各作业环节的作业时间如下</w:t>
      </w:r>
      <w:r>
        <w:rPr>
          <w:rFonts w:hint="eastAsia" w:ascii="仿宋_GB2312" w:hAnsi="仿宋_GB2312" w:eastAsia="仿宋_GB2312" w:cs="仿宋_GB2312"/>
          <w:color w:val="000000" w:themeColor="text1"/>
          <w:kern w:val="21"/>
          <w:sz w:val="32"/>
          <w:szCs w:val="32"/>
          <w:lang w:eastAsia="zh-CN"/>
          <w14:textFill>
            <w14:solidFill>
              <w14:schemeClr w14:val="tx1"/>
            </w14:solidFill>
          </w14:textFill>
        </w:rPr>
        <w:t>：</w:t>
      </w:r>
    </w:p>
    <w:p w14:paraId="788806DB">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1"/>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1"/>
          <w:sz w:val="32"/>
          <w:szCs w:val="32"/>
          <w:u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21"/>
          <w:sz w:val="32"/>
          <w:szCs w:val="32"/>
          <w:u w:val="none"/>
          <w:lang w:eastAsia="zh-CN"/>
          <w14:textFill>
            <w14:solidFill>
              <w14:schemeClr w14:val="tx1"/>
            </w14:solidFill>
          </w14:textFill>
        </w:rPr>
        <w:t>耕耙</w:t>
      </w:r>
      <w:r>
        <w:rPr>
          <w:rFonts w:hint="eastAsia" w:ascii="仿宋_GB2312" w:hAnsi="仿宋_GB2312" w:eastAsia="仿宋_GB2312" w:cs="仿宋_GB2312"/>
          <w:color w:val="000000" w:themeColor="text1"/>
          <w:kern w:val="21"/>
          <w:sz w:val="32"/>
          <w:szCs w:val="32"/>
          <w14:textFill>
            <w14:solidFill>
              <w14:schemeClr w14:val="tx1"/>
            </w14:solidFill>
          </w14:textFill>
        </w:rPr>
        <w:t>环节</w:t>
      </w:r>
      <w:r>
        <w:rPr>
          <w:rFonts w:hint="eastAsia" w:ascii="仿宋_GB2312" w:hAnsi="仿宋_GB2312" w:eastAsia="仿宋_GB2312" w:cs="仿宋_GB2312"/>
          <w:color w:val="000000" w:themeColor="text1"/>
          <w:kern w:val="21"/>
          <w:sz w:val="32"/>
          <w:szCs w:val="32"/>
          <w:lang w:val="en-US" w:eastAsia="zh-CN"/>
          <w14:textFill>
            <w14:solidFill>
              <w14:schemeClr w14:val="tx1"/>
            </w14:solidFill>
          </w14:textFill>
        </w:rPr>
        <w:t>作业</w:t>
      </w:r>
      <w:r>
        <w:rPr>
          <w:rFonts w:ascii="仿宋_GB2312" w:hAnsi="仿宋_GB2312" w:eastAsia="仿宋_GB2312" w:cs="仿宋_GB2312"/>
          <w:color w:val="000000" w:themeColor="text1"/>
          <w:kern w:val="21"/>
          <w:sz w:val="32"/>
          <w:szCs w:val="32"/>
          <w14:textFill>
            <w14:solidFill>
              <w14:schemeClr w14:val="tx1"/>
            </w14:solidFill>
          </w14:textFill>
        </w:rPr>
        <w:t>在</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年</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月</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日至</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月</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日</w:t>
      </w:r>
      <w:r>
        <w:rPr>
          <w:rFonts w:ascii="仿宋_GB2312" w:hAnsi="仿宋_GB2312" w:eastAsia="仿宋_GB2312" w:cs="仿宋_GB2312"/>
          <w:color w:val="000000" w:themeColor="text1"/>
          <w:kern w:val="21"/>
          <w:sz w:val="32"/>
          <w:szCs w:val="32"/>
          <w14:textFill>
            <w14:solidFill>
              <w14:schemeClr w14:val="tx1"/>
            </w14:solidFill>
          </w14:textFill>
        </w:rPr>
        <w:t>期间完成</w:t>
      </w:r>
      <w:r>
        <w:rPr>
          <w:rFonts w:hint="eastAsia" w:ascii="仿宋_GB2312" w:hAnsi="仿宋_GB2312" w:eastAsia="仿宋_GB2312" w:cs="仿宋_GB2312"/>
          <w:color w:val="000000" w:themeColor="text1"/>
          <w:kern w:val="21"/>
          <w:sz w:val="32"/>
          <w:szCs w:val="32"/>
          <w:lang w:eastAsia="zh-CN"/>
          <w14:textFill>
            <w14:solidFill>
              <w14:schemeClr w14:val="tx1"/>
            </w14:solidFill>
          </w14:textFill>
        </w:rPr>
        <w:t>；</w:t>
      </w:r>
    </w:p>
    <w:p w14:paraId="14F7CBF8">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1"/>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1"/>
          <w:sz w:val="32"/>
          <w:szCs w:val="32"/>
          <w:u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21"/>
          <w:sz w:val="32"/>
          <w:szCs w:val="32"/>
          <w:u w:val="none"/>
          <w:lang w:eastAsia="zh-CN"/>
          <w14:textFill>
            <w14:solidFill>
              <w14:schemeClr w14:val="tx1"/>
            </w14:solidFill>
          </w14:textFill>
        </w:rPr>
        <w:t>播种</w:t>
      </w:r>
      <w:r>
        <w:rPr>
          <w:rFonts w:hint="eastAsia" w:ascii="仿宋_GB2312" w:hAnsi="仿宋_GB2312" w:eastAsia="仿宋_GB2312" w:cs="仿宋_GB2312"/>
          <w:color w:val="000000" w:themeColor="text1"/>
          <w:kern w:val="21"/>
          <w:sz w:val="32"/>
          <w:szCs w:val="32"/>
          <w14:textFill>
            <w14:solidFill>
              <w14:schemeClr w14:val="tx1"/>
            </w14:solidFill>
          </w14:textFill>
        </w:rPr>
        <w:t>环节</w:t>
      </w:r>
      <w:r>
        <w:rPr>
          <w:rFonts w:hint="eastAsia" w:ascii="仿宋_GB2312" w:hAnsi="仿宋_GB2312" w:eastAsia="仿宋_GB2312" w:cs="仿宋_GB2312"/>
          <w:color w:val="000000" w:themeColor="text1"/>
          <w:kern w:val="21"/>
          <w:sz w:val="32"/>
          <w:szCs w:val="32"/>
          <w:lang w:val="en-US" w:eastAsia="zh-CN"/>
          <w14:textFill>
            <w14:solidFill>
              <w14:schemeClr w14:val="tx1"/>
            </w14:solidFill>
          </w14:textFill>
        </w:rPr>
        <w:t>作业</w:t>
      </w:r>
      <w:r>
        <w:rPr>
          <w:rFonts w:ascii="仿宋_GB2312" w:hAnsi="仿宋_GB2312" w:eastAsia="仿宋_GB2312" w:cs="仿宋_GB2312"/>
          <w:color w:val="000000" w:themeColor="text1"/>
          <w:kern w:val="21"/>
          <w:sz w:val="32"/>
          <w:szCs w:val="32"/>
          <w14:textFill>
            <w14:solidFill>
              <w14:schemeClr w14:val="tx1"/>
            </w14:solidFill>
          </w14:textFill>
        </w:rPr>
        <w:t>在</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年</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月</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日至</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月</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日</w:t>
      </w:r>
      <w:r>
        <w:rPr>
          <w:rFonts w:ascii="仿宋_GB2312" w:hAnsi="仿宋_GB2312" w:eastAsia="仿宋_GB2312" w:cs="仿宋_GB2312"/>
          <w:color w:val="000000" w:themeColor="text1"/>
          <w:kern w:val="21"/>
          <w:sz w:val="32"/>
          <w:szCs w:val="32"/>
          <w14:textFill>
            <w14:solidFill>
              <w14:schemeClr w14:val="tx1"/>
            </w14:solidFill>
          </w14:textFill>
        </w:rPr>
        <w:t>期间完成</w:t>
      </w:r>
      <w:r>
        <w:rPr>
          <w:rFonts w:hint="eastAsia" w:ascii="仿宋_GB2312" w:hAnsi="仿宋_GB2312" w:eastAsia="仿宋_GB2312" w:cs="仿宋_GB2312"/>
          <w:color w:val="000000" w:themeColor="text1"/>
          <w:kern w:val="21"/>
          <w:sz w:val="32"/>
          <w:szCs w:val="32"/>
          <w:lang w:eastAsia="zh-CN"/>
          <w14:textFill>
            <w14:solidFill>
              <w14:schemeClr w14:val="tx1"/>
            </w14:solidFill>
          </w14:textFill>
        </w:rPr>
        <w:t>；</w:t>
      </w:r>
    </w:p>
    <w:p w14:paraId="001D15A2">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kern w:val="21"/>
          <w:sz w:val="32"/>
          <w:szCs w:val="32"/>
          <w14:textFill>
            <w14:solidFill>
              <w14:schemeClr w14:val="tx1"/>
            </w14:solidFill>
          </w14:textFill>
        </w:rPr>
      </w:pPr>
      <w:r>
        <w:rPr>
          <w:rFonts w:hint="eastAsia" w:ascii="仿宋_GB2312" w:hAnsi="仿宋_GB2312" w:eastAsia="仿宋_GB2312" w:cs="仿宋_GB2312"/>
          <w:color w:val="000000" w:themeColor="text1"/>
          <w:kern w:val="2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21"/>
          <w:sz w:val="32"/>
          <w:szCs w:val="32"/>
          <w:u w:val="none"/>
          <w:lang w:eastAsia="zh-CN"/>
          <w14:textFill>
            <w14:solidFill>
              <w14:schemeClr w14:val="tx1"/>
            </w14:solidFill>
          </w14:textFill>
        </w:rPr>
        <w:t>机防</w:t>
      </w:r>
      <w:r>
        <w:rPr>
          <w:rFonts w:hint="eastAsia" w:ascii="仿宋_GB2312" w:hAnsi="仿宋_GB2312" w:eastAsia="仿宋_GB2312" w:cs="仿宋_GB2312"/>
          <w:color w:val="000000" w:themeColor="text1"/>
          <w:kern w:val="21"/>
          <w:sz w:val="32"/>
          <w:szCs w:val="32"/>
          <w14:textFill>
            <w14:solidFill>
              <w14:schemeClr w14:val="tx1"/>
            </w14:solidFill>
          </w14:textFill>
        </w:rPr>
        <w:t>环节</w:t>
      </w:r>
      <w:r>
        <w:rPr>
          <w:rFonts w:hint="eastAsia" w:ascii="仿宋_GB2312" w:hAnsi="仿宋_GB2312" w:eastAsia="仿宋_GB2312" w:cs="仿宋_GB2312"/>
          <w:color w:val="000000" w:themeColor="text1"/>
          <w:kern w:val="21"/>
          <w:sz w:val="32"/>
          <w:szCs w:val="32"/>
          <w:lang w:val="en-US" w:eastAsia="zh-CN"/>
          <w14:textFill>
            <w14:solidFill>
              <w14:schemeClr w14:val="tx1"/>
            </w14:solidFill>
          </w14:textFill>
        </w:rPr>
        <w:t>作业</w:t>
      </w:r>
      <w:r>
        <w:rPr>
          <w:rFonts w:ascii="仿宋_GB2312" w:hAnsi="仿宋_GB2312" w:eastAsia="仿宋_GB2312" w:cs="仿宋_GB2312"/>
          <w:color w:val="000000" w:themeColor="text1"/>
          <w:kern w:val="21"/>
          <w:sz w:val="32"/>
          <w:szCs w:val="32"/>
          <w14:textFill>
            <w14:solidFill>
              <w14:schemeClr w14:val="tx1"/>
            </w14:solidFill>
          </w14:textFill>
        </w:rPr>
        <w:t>在</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年</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月</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日至</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月</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日</w:t>
      </w:r>
      <w:r>
        <w:rPr>
          <w:rFonts w:ascii="仿宋_GB2312" w:hAnsi="仿宋_GB2312" w:eastAsia="仿宋_GB2312" w:cs="仿宋_GB2312"/>
          <w:color w:val="000000" w:themeColor="text1"/>
          <w:kern w:val="21"/>
          <w:sz w:val="32"/>
          <w:szCs w:val="32"/>
          <w14:textFill>
            <w14:solidFill>
              <w14:schemeClr w14:val="tx1"/>
            </w14:solidFill>
          </w14:textFill>
        </w:rPr>
        <w:t>期间完成</w:t>
      </w:r>
      <w:r>
        <w:rPr>
          <w:rFonts w:hint="eastAsia" w:ascii="仿宋_GB2312" w:hAnsi="仿宋_GB2312" w:eastAsia="仿宋_GB2312" w:cs="仿宋_GB2312"/>
          <w:color w:val="000000" w:themeColor="text1"/>
          <w:kern w:val="21"/>
          <w:sz w:val="32"/>
          <w:szCs w:val="32"/>
          <w:lang w:eastAsia="zh-CN"/>
          <w14:textFill>
            <w14:solidFill>
              <w14:schemeClr w14:val="tx1"/>
            </w14:solidFill>
          </w14:textFill>
        </w:rPr>
        <w:t>；</w:t>
      </w:r>
    </w:p>
    <w:p w14:paraId="392F0723">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ascii="方正楷体" w:hAnsi="方正楷体" w:eastAsia="方正楷体" w:cs="方正楷体"/>
          <w:color w:val="FF0000"/>
          <w:kern w:val="21"/>
          <w:sz w:val="32"/>
          <w:szCs w:val="32"/>
          <w:lang w:val="en-US"/>
        </w:rPr>
      </w:pPr>
      <w:r>
        <w:rPr>
          <w:rFonts w:hint="eastAsia" w:ascii="仿宋_GB2312" w:hAnsi="仿宋_GB2312" w:eastAsia="仿宋_GB2312" w:cs="仿宋_GB2312"/>
          <w:color w:val="000000" w:themeColor="text1"/>
          <w:kern w:val="21"/>
          <w:sz w:val="32"/>
          <w:szCs w:val="32"/>
          <w:u w:val="none"/>
          <w:lang w:val="en-US" w:eastAsia="zh-CN"/>
          <w14:textFill>
            <w14:solidFill>
              <w14:schemeClr w14:val="tx1"/>
            </w14:solidFill>
          </w14:textFill>
        </w:rPr>
        <w:t>4.</w:t>
      </w:r>
      <w:r>
        <w:rPr>
          <w:rFonts w:hint="eastAsia" w:ascii="仿宋_GB2312" w:hAnsi="仿宋_GB2312" w:eastAsia="仿宋_GB2312" w:cs="仿宋_GB2312"/>
          <w:color w:val="000000" w:themeColor="text1"/>
          <w:kern w:val="21"/>
          <w:sz w:val="32"/>
          <w:szCs w:val="32"/>
          <w:u w:val="none"/>
          <w:lang w:eastAsia="zh-CN"/>
          <w14:textFill>
            <w14:solidFill>
              <w14:schemeClr w14:val="tx1"/>
            </w14:solidFill>
          </w14:textFill>
        </w:rPr>
        <w:t>机收</w:t>
      </w:r>
      <w:r>
        <w:rPr>
          <w:rFonts w:hint="eastAsia" w:ascii="仿宋_GB2312" w:hAnsi="仿宋_GB2312" w:eastAsia="仿宋_GB2312" w:cs="仿宋_GB2312"/>
          <w:color w:val="000000" w:themeColor="text1"/>
          <w:kern w:val="21"/>
          <w:sz w:val="32"/>
          <w:szCs w:val="32"/>
          <w14:textFill>
            <w14:solidFill>
              <w14:schemeClr w14:val="tx1"/>
            </w14:solidFill>
          </w14:textFill>
        </w:rPr>
        <w:t>环节</w:t>
      </w:r>
      <w:r>
        <w:rPr>
          <w:rFonts w:hint="eastAsia" w:ascii="仿宋_GB2312" w:hAnsi="仿宋_GB2312" w:eastAsia="仿宋_GB2312" w:cs="仿宋_GB2312"/>
          <w:color w:val="000000" w:themeColor="text1"/>
          <w:kern w:val="21"/>
          <w:sz w:val="32"/>
          <w:szCs w:val="32"/>
          <w:lang w:val="en-US" w:eastAsia="zh-CN"/>
          <w14:textFill>
            <w14:solidFill>
              <w14:schemeClr w14:val="tx1"/>
            </w14:solidFill>
          </w14:textFill>
        </w:rPr>
        <w:t>作业</w:t>
      </w:r>
      <w:r>
        <w:rPr>
          <w:rFonts w:ascii="仿宋_GB2312" w:hAnsi="仿宋_GB2312" w:eastAsia="仿宋_GB2312" w:cs="仿宋_GB2312"/>
          <w:color w:val="000000" w:themeColor="text1"/>
          <w:kern w:val="21"/>
          <w:sz w:val="32"/>
          <w:szCs w:val="32"/>
          <w14:textFill>
            <w14:solidFill>
              <w14:schemeClr w14:val="tx1"/>
            </w14:solidFill>
          </w14:textFill>
        </w:rPr>
        <w:t>在</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年</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月</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日至</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月</w:t>
      </w:r>
      <w:r>
        <w:rPr>
          <w:rFonts w:hint="eastAsia" w:ascii="仿宋_GB2312" w:hAnsi="仿宋_GB2312" w:eastAsia="仿宋_GB2312" w:cs="仿宋_GB2312"/>
          <w:color w:val="000000" w:themeColor="text1"/>
          <w:kern w:val="2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1"/>
          <w:sz w:val="32"/>
          <w:szCs w:val="32"/>
          <w:lang w:val="en-US"/>
          <w14:textFill>
            <w14:solidFill>
              <w14:schemeClr w14:val="tx1"/>
            </w14:solidFill>
          </w14:textFill>
        </w:rPr>
        <w:t>日</w:t>
      </w:r>
      <w:r>
        <w:rPr>
          <w:rFonts w:ascii="仿宋_GB2312" w:hAnsi="仿宋_GB2312" w:eastAsia="仿宋_GB2312" w:cs="仿宋_GB2312"/>
          <w:color w:val="000000" w:themeColor="text1"/>
          <w:kern w:val="21"/>
          <w:sz w:val="32"/>
          <w:szCs w:val="32"/>
          <w14:textFill>
            <w14:solidFill>
              <w14:schemeClr w14:val="tx1"/>
            </w14:solidFill>
          </w14:textFill>
        </w:rPr>
        <w:t>期间完成</w:t>
      </w:r>
      <w:r>
        <w:rPr>
          <w:rFonts w:hint="eastAsia" w:ascii="仿宋_GB2312" w:hAnsi="仿宋_GB2312" w:eastAsia="仿宋_GB2312" w:cs="仿宋_GB2312"/>
          <w:color w:val="000000" w:themeColor="text1"/>
          <w:kern w:val="21"/>
          <w:sz w:val="32"/>
          <w:szCs w:val="32"/>
          <w:lang w:eastAsia="zh-CN"/>
          <w14:textFill>
            <w14:solidFill>
              <w14:schemeClr w14:val="tx1"/>
            </w14:solidFill>
          </w14:textFill>
        </w:rPr>
        <w:t>；</w:t>
      </w:r>
    </w:p>
    <w:p w14:paraId="71AE550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textAlignment w:val="auto"/>
        <w:rPr>
          <w:rFonts w:ascii="黑体" w:hAnsi="黑体" w:eastAsia="黑体" w:cs="黑体"/>
          <w:b/>
          <w:bCs/>
          <w:kern w:val="21"/>
          <w:sz w:val="32"/>
          <w:szCs w:val="32"/>
        </w:rPr>
      </w:pPr>
      <w:r>
        <w:rPr>
          <w:rFonts w:hint="default" w:ascii="黑体" w:hAnsi="黑体" w:eastAsia="黑体" w:cs="黑体"/>
          <w:kern w:val="21"/>
          <w:sz w:val="32"/>
          <w:szCs w:val="32"/>
        </w:rPr>
        <w:t xml:space="preserve">    </w:t>
      </w:r>
      <w:r>
        <w:rPr>
          <w:rFonts w:hint="default" w:ascii="黑体" w:hAnsi="黑体" w:eastAsia="黑体" w:cs="黑体"/>
          <w:b/>
          <w:bCs/>
          <w:kern w:val="21"/>
          <w:sz w:val="32"/>
          <w:szCs w:val="32"/>
        </w:rPr>
        <w:t>第</w:t>
      </w:r>
      <w:r>
        <w:rPr>
          <w:rFonts w:hint="eastAsia" w:ascii="黑体" w:hAnsi="黑体" w:eastAsia="黑体" w:cs="黑体"/>
          <w:b/>
          <w:bCs/>
          <w:kern w:val="21"/>
          <w:sz w:val="32"/>
          <w:szCs w:val="32"/>
          <w:lang w:eastAsia="zh-CN"/>
        </w:rPr>
        <w:t>四</w:t>
      </w:r>
      <w:r>
        <w:rPr>
          <w:rFonts w:hint="default" w:ascii="黑体" w:hAnsi="黑体" w:eastAsia="黑体" w:cs="黑体"/>
          <w:b/>
          <w:bCs/>
          <w:kern w:val="21"/>
          <w:sz w:val="32"/>
          <w:szCs w:val="32"/>
          <w:highlight w:val="none"/>
        </w:rPr>
        <w:t xml:space="preserve">条 </w:t>
      </w:r>
      <w:r>
        <w:rPr>
          <w:rFonts w:hint="eastAsia" w:ascii="黑体" w:hAnsi="黑体" w:eastAsia="黑体" w:cs="黑体"/>
          <w:b/>
          <w:bCs/>
          <w:kern w:val="21"/>
          <w:sz w:val="32"/>
          <w:szCs w:val="32"/>
          <w:highlight w:val="none"/>
        </w:rPr>
        <w:t>服务</w:t>
      </w:r>
      <w:r>
        <w:rPr>
          <w:rFonts w:hint="eastAsia" w:ascii="黑体" w:hAnsi="黑体" w:eastAsia="黑体" w:cs="黑体"/>
          <w:b/>
          <w:bCs/>
          <w:kern w:val="21"/>
          <w:sz w:val="32"/>
          <w:szCs w:val="32"/>
          <w:highlight w:val="none"/>
          <w:lang w:eastAsia="zh-CN"/>
        </w:rPr>
        <w:t>价格及服务</w:t>
      </w:r>
      <w:r>
        <w:rPr>
          <w:rFonts w:hint="default" w:ascii="黑体" w:hAnsi="黑体" w:eastAsia="黑体" w:cs="黑体"/>
          <w:b/>
          <w:bCs/>
          <w:kern w:val="21"/>
          <w:sz w:val="32"/>
          <w:szCs w:val="32"/>
          <w:highlight w:val="none"/>
        </w:rPr>
        <w:t>费用</w:t>
      </w:r>
    </w:p>
    <w:p w14:paraId="3BA28DB4">
      <w:pPr>
        <w:pStyle w:val="18"/>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经甲乙双方协商，农业生产托管服务价格和费用如下：</w:t>
      </w:r>
    </w:p>
    <w:p w14:paraId="1925267A">
      <w:pPr>
        <w:pStyle w:val="18"/>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乙方为甲方提供的</w:t>
      </w:r>
      <w:r>
        <w:rPr>
          <w:rFonts w:hint="eastAsia" w:ascii="仿宋_GB2312" w:hAnsi="仿宋_GB2312" w:eastAsia="仿宋_GB2312" w:cs="仿宋_GB2312"/>
          <w:color w:val="000000" w:themeColor="text1"/>
          <w:sz w:val="32"/>
          <w:szCs w:val="32"/>
          <w:lang w:eastAsia="zh-CN"/>
          <w14:textFill>
            <w14:solidFill>
              <w14:schemeClr w14:val="tx1"/>
            </w14:solidFill>
          </w14:textFill>
        </w:rPr>
        <w:t>小麦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全程生产</w:t>
      </w:r>
      <w:r>
        <w:rPr>
          <w:rFonts w:hint="eastAsia" w:ascii="仿宋_GB2312" w:hAnsi="仿宋_GB2312" w:eastAsia="仿宋_GB2312" w:cs="仿宋_GB2312"/>
          <w:color w:val="000000" w:themeColor="text1"/>
          <w:sz w:val="32"/>
          <w:szCs w:val="32"/>
          <w14:textFill>
            <w14:solidFill>
              <w14:schemeClr w14:val="tx1"/>
            </w14:solidFill>
          </w14:textFill>
        </w:rPr>
        <w:t>托管服务价格为</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color w:val="000000" w:themeColor="text1"/>
          <w:sz w:val="32"/>
          <w:szCs w:val="32"/>
          <w14:textFill>
            <w14:solidFill>
              <w14:schemeClr w14:val="tx1"/>
            </w14:solidFill>
          </w14:textFill>
        </w:rPr>
        <w:t>元/亩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其中</w:t>
      </w:r>
      <w:r>
        <w:rPr>
          <w:rFonts w:hint="eastAsia" w:ascii="仿宋_GB2312" w:hAnsi="仿宋_GB2312" w:eastAsia="仿宋_GB2312" w:cs="仿宋_GB2312"/>
          <w:color w:val="000000" w:themeColor="text1"/>
          <w:kern w:val="21"/>
          <w:sz w:val="32"/>
          <w:szCs w:val="32"/>
          <w:u w:val="none"/>
          <w:lang w:eastAsia="zh-CN"/>
          <w14:textFill>
            <w14:solidFill>
              <w14:schemeClr w14:val="tx1"/>
            </w14:solidFill>
          </w14:textFill>
        </w:rPr>
        <w:t>耕耙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元/亩、播种：</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元/亩、</w:t>
      </w:r>
      <w:r>
        <w:rPr>
          <w:rFonts w:hint="eastAsia" w:ascii="仿宋_GB2312" w:hAnsi="仿宋_GB2312" w:eastAsia="仿宋_GB2312" w:cs="仿宋_GB2312"/>
          <w:color w:val="000000" w:themeColor="text1"/>
          <w:kern w:val="21"/>
          <w:sz w:val="32"/>
          <w:szCs w:val="32"/>
          <w:u w:val="none"/>
          <w:lang w:eastAsia="zh-CN"/>
          <w14:textFill>
            <w14:solidFill>
              <w14:schemeClr w14:val="tx1"/>
            </w14:solidFill>
          </w14:textFill>
        </w:rPr>
        <w:t>机防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元/亩、机收：</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元/亩。</w:t>
      </w:r>
    </w:p>
    <w:p w14:paraId="252CCAA8">
      <w:pPr>
        <w:pStyle w:val="18"/>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val="en-US" w:eastAsia="zh-CN"/>
        </w:rPr>
        <w:t>乙方为甲方总托管服务面积为</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sz w:val="32"/>
          <w:szCs w:val="32"/>
          <w:lang w:val="en-US" w:eastAsia="zh-CN"/>
        </w:rPr>
        <w:t>亩，</w:t>
      </w:r>
      <w:r>
        <w:rPr>
          <w:rFonts w:hint="eastAsia" w:ascii="仿宋_GB2312" w:hAnsi="仿宋_GB2312" w:eastAsia="仿宋_GB2312" w:cs="仿宋_GB2312"/>
          <w:sz w:val="32"/>
          <w:szCs w:val="32"/>
        </w:rPr>
        <w:t>总费用人民币</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1"/>
          <w:sz w:val="32"/>
          <w:szCs w:val="32"/>
          <w:u w:val="single"/>
          <w:lang w:val="en-US" w:eastAsia="zh-CN"/>
        </w:rPr>
        <w:t>XX元整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19236364">
      <w:pPr>
        <w:pStyle w:val="18"/>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left"/>
        <w:textAlignment w:val="auto"/>
        <w:rPr>
          <w:rFonts w:hint="eastAsia" w:ascii="方正楷体" w:hAnsi="方正楷体" w:eastAsia="方正楷体" w:cs="方正楷体"/>
          <w:kern w:val="21"/>
          <w:sz w:val="32"/>
          <w:szCs w:val="32"/>
          <w:lang w:val="en-US" w:eastAsia="zh-CN"/>
        </w:rPr>
      </w:pPr>
      <w:r>
        <w:rPr>
          <w:rFonts w:hint="eastAsia" w:ascii="仿宋_GB2312" w:hAnsi="仿宋_GB2312" w:eastAsia="仿宋_GB2312" w:cs="仿宋_GB2312"/>
          <w:sz w:val="32"/>
          <w:szCs w:val="32"/>
        </w:rPr>
        <w:t>因乙方承担</w:t>
      </w:r>
      <w:r>
        <w:rPr>
          <w:rFonts w:hint="eastAsia" w:ascii="仿宋_GB2312" w:hAnsi="仿宋_GB2312" w:eastAsia="仿宋_GB2312" w:cs="仿宋_GB2312"/>
          <w:sz w:val="32"/>
          <w:szCs w:val="32"/>
          <w:lang w:val="en-US" w:eastAsia="zh-CN"/>
        </w:rPr>
        <w:t>轮台县2024年中央财政农业社会化服务结余资金项目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乙方向甲方全额收取生产托管服务费用，</w:t>
      </w:r>
      <w:r>
        <w:rPr>
          <w:rFonts w:hint="eastAsia" w:ascii="仿宋_GB2312" w:hAnsi="仿宋_GB2312" w:eastAsia="仿宋_GB2312" w:cs="仿宋_GB2312"/>
          <w:b w:val="0"/>
          <w:bCs/>
          <w:color w:val="auto"/>
          <w:sz w:val="32"/>
          <w:szCs w:val="32"/>
          <w:highlight w:val="none"/>
          <w:lang w:val="en-US" w:eastAsia="zh-CN"/>
        </w:rPr>
        <w:t>农业社会化服务</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补助资金由财政直接拨付甲方。</w:t>
      </w:r>
      <w:r>
        <w:rPr>
          <w:rFonts w:hint="eastAsia" w:ascii="仿宋_GB2312" w:hAnsi="仿宋_GB2312" w:eastAsia="仿宋_GB2312" w:cs="仿宋_GB2312"/>
          <w:bCs/>
          <w:color w:val="auto"/>
          <w:sz w:val="32"/>
          <w:szCs w:val="32"/>
          <w:highlight w:val="none"/>
        </w:rPr>
        <w:t>甲方</w:t>
      </w:r>
      <w:r>
        <w:rPr>
          <w:rFonts w:hint="eastAsia" w:ascii="仿宋_GB2312" w:hAnsi="仿宋_GB2312" w:eastAsia="仿宋_GB2312" w:cs="仿宋_GB2312"/>
          <w:bCs/>
          <w:color w:val="auto"/>
          <w:sz w:val="32"/>
          <w:szCs w:val="32"/>
          <w:highlight w:val="none"/>
          <w:lang w:val="en-US" w:eastAsia="zh-CN"/>
        </w:rPr>
        <w:t>农户</w:t>
      </w:r>
      <w:r>
        <w:rPr>
          <w:rFonts w:hint="eastAsia" w:ascii="仿宋_GB2312" w:hAnsi="仿宋_GB2312" w:eastAsia="仿宋_GB2312" w:cs="仿宋_GB2312"/>
          <w:b w:val="0"/>
          <w:bCs/>
          <w:color w:val="auto"/>
          <w:sz w:val="32"/>
          <w:szCs w:val="32"/>
          <w:highlight w:val="none"/>
          <w:lang w:val="en-US" w:eastAsia="zh-CN"/>
        </w:rPr>
        <w:t>享受财政</w:t>
      </w:r>
      <w:r>
        <w:rPr>
          <w:rFonts w:hint="eastAsia" w:ascii="仿宋_GB2312" w:hAnsi="仿宋_GB2312" w:eastAsia="仿宋_GB2312" w:cs="仿宋_GB2312"/>
          <w:sz w:val="32"/>
          <w:szCs w:val="32"/>
          <w:lang w:val="en-US" w:eastAsia="zh-CN"/>
        </w:rPr>
        <w:t>补助</w:t>
      </w:r>
      <w:r>
        <w:rPr>
          <w:rFonts w:hint="eastAsia" w:ascii="仿宋_GB2312" w:hAnsi="仿宋_GB2312" w:eastAsia="仿宋_GB2312" w:cs="仿宋_GB2312"/>
          <w:b w:val="0"/>
          <w:bCs/>
          <w:color w:val="auto"/>
          <w:sz w:val="32"/>
          <w:szCs w:val="32"/>
          <w:highlight w:val="none"/>
          <w:lang w:val="en-US" w:eastAsia="zh-CN"/>
        </w:rPr>
        <w:t>为</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b w:val="0"/>
          <w:bCs/>
          <w:color w:val="auto"/>
          <w:sz w:val="32"/>
          <w:szCs w:val="32"/>
          <w:highlight w:val="none"/>
          <w:lang w:val="en-US" w:eastAsia="zh-CN"/>
        </w:rPr>
        <w:t>元/亩</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该</w:t>
      </w:r>
      <w:r>
        <w:rPr>
          <w:rFonts w:hint="eastAsia" w:ascii="仿宋_GB2312" w:hAnsi="仿宋_GB2312" w:eastAsia="仿宋_GB2312" w:cs="仿宋_GB2312"/>
          <w:sz w:val="32"/>
          <w:szCs w:val="32"/>
          <w:lang w:val="en-US" w:eastAsia="zh-CN"/>
        </w:rPr>
        <w:t>补助</w:t>
      </w:r>
      <w:r>
        <w:rPr>
          <w:rFonts w:hint="eastAsia" w:ascii="仿宋_GB2312" w:hAnsi="仿宋_GB2312" w:eastAsia="仿宋_GB2312" w:cs="仿宋_GB2312"/>
          <w:bCs/>
          <w:color w:val="auto"/>
          <w:sz w:val="32"/>
          <w:szCs w:val="32"/>
          <w:highlight w:val="none"/>
          <w:lang w:val="en-US" w:eastAsia="zh-CN"/>
        </w:rPr>
        <w:t>采取</w:t>
      </w:r>
      <w:r>
        <w:rPr>
          <w:rFonts w:hint="eastAsia" w:ascii="仿宋_GB2312" w:hAnsi="仿宋_GB2312" w:eastAsia="仿宋_GB2312" w:cs="仿宋_GB2312"/>
          <w:bCs/>
          <w:color w:val="auto"/>
          <w:sz w:val="32"/>
          <w:szCs w:val="32"/>
          <w:highlight w:val="none"/>
          <w:lang w:eastAsia="zh-CN"/>
        </w:rPr>
        <w:t>直接补助小农户的方式，</w:t>
      </w:r>
      <w:r>
        <w:rPr>
          <w:rFonts w:hint="eastAsia" w:ascii="仿宋_GB2312" w:hAnsi="仿宋_GB2312" w:eastAsia="仿宋_GB2312" w:cs="仿宋_GB2312"/>
          <w:sz w:val="32"/>
          <w:szCs w:val="32"/>
          <w:lang w:val="en-US" w:eastAsia="zh-CN"/>
        </w:rPr>
        <w:t>由财政</w:t>
      </w:r>
      <w:r>
        <w:rPr>
          <w:rFonts w:hint="eastAsia" w:ascii="仿宋_GB2312" w:hAnsi="仿宋_GB2312" w:eastAsia="仿宋_GB2312" w:cs="仿宋_GB2312"/>
          <w:bCs/>
          <w:color w:val="auto"/>
          <w:sz w:val="32"/>
          <w:szCs w:val="32"/>
          <w:highlight w:val="none"/>
          <w:lang w:eastAsia="zh-CN"/>
        </w:rPr>
        <w:t>直接拨付至小农户财政“一卡(折)通”）</w:t>
      </w:r>
      <w:r>
        <w:rPr>
          <w:rFonts w:hint="eastAsia" w:ascii="仿宋_GB2312" w:hAnsi="仿宋_GB2312" w:eastAsia="仿宋_GB2312" w:cs="仿宋_GB2312"/>
          <w:b w:val="0"/>
          <w:bCs/>
          <w:color w:val="auto"/>
          <w:sz w:val="32"/>
          <w:szCs w:val="32"/>
          <w:highlight w:val="none"/>
          <w:lang w:val="en-US" w:eastAsia="zh-CN"/>
        </w:rPr>
        <w:t>，共计</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b w:val="0"/>
          <w:bCs/>
          <w:color w:val="auto"/>
          <w:sz w:val="32"/>
          <w:szCs w:val="32"/>
          <w:highlight w:val="none"/>
          <w:lang w:val="en-US" w:eastAsia="zh-CN"/>
        </w:rPr>
        <w:t>元（</w:t>
      </w:r>
      <w:r>
        <w:rPr>
          <w:rFonts w:hint="eastAsia" w:ascii="仿宋_GB2312" w:hAnsi="仿宋_GB2312" w:eastAsia="仿宋_GB2312" w:cs="仿宋_GB2312"/>
          <w:sz w:val="32"/>
          <w:szCs w:val="32"/>
        </w:rPr>
        <w:t>大写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1"/>
          <w:sz w:val="32"/>
          <w:szCs w:val="32"/>
          <w:u w:val="single"/>
          <w:lang w:val="en-US" w:eastAsia="zh-CN"/>
        </w:rPr>
        <w:t>XX元整</w:t>
      </w:r>
      <w:r>
        <w:rPr>
          <w:rFonts w:hint="eastAsia" w:ascii="仿宋_GB2312" w:hAnsi="仿宋_GB2312" w:eastAsia="仿宋_GB2312" w:cs="仿宋_GB2312"/>
          <w:b w:val="0"/>
          <w:bCs/>
          <w:color w:val="auto"/>
          <w:sz w:val="32"/>
          <w:szCs w:val="32"/>
          <w:highlight w:val="none"/>
          <w:lang w:val="en-US" w:eastAsia="zh-CN"/>
        </w:rPr>
        <w:t>）。</w:t>
      </w:r>
    </w:p>
    <w:p w14:paraId="72D87215">
      <w:pPr>
        <w:keepNext w:val="0"/>
        <w:keepLines w:val="0"/>
        <w:pageBreakBefore w:val="0"/>
        <w:kinsoku/>
        <w:wordWrap w:val="0"/>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kern w:val="21"/>
          <w:sz w:val="32"/>
          <w:szCs w:val="32"/>
        </w:rPr>
      </w:pPr>
      <w:r>
        <w:rPr>
          <w:rFonts w:hint="default" w:ascii="黑体" w:hAnsi="黑体" w:eastAsia="黑体" w:cs="黑体"/>
          <w:b/>
          <w:bCs/>
          <w:kern w:val="21"/>
          <w:sz w:val="32"/>
          <w:szCs w:val="32"/>
        </w:rPr>
        <w:t>第</w:t>
      </w:r>
      <w:r>
        <w:rPr>
          <w:rFonts w:hint="eastAsia" w:ascii="黑体" w:hAnsi="黑体" w:eastAsia="黑体" w:cs="黑体"/>
          <w:b/>
          <w:bCs/>
          <w:kern w:val="21"/>
          <w:sz w:val="32"/>
          <w:szCs w:val="32"/>
          <w:lang w:eastAsia="zh-CN"/>
        </w:rPr>
        <w:t>五</w:t>
      </w:r>
      <w:r>
        <w:rPr>
          <w:rFonts w:hint="default" w:ascii="黑体" w:hAnsi="黑体" w:eastAsia="黑体" w:cs="黑体"/>
          <w:b/>
          <w:bCs/>
          <w:kern w:val="21"/>
          <w:sz w:val="32"/>
          <w:szCs w:val="32"/>
        </w:rPr>
        <w:t>条 支付方式</w:t>
      </w:r>
    </w:p>
    <w:p w14:paraId="13C6C39C">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乙方将甲方委托的农业生产托管环节服务完毕并经甲方验收合格并满意度测评后，甲方于</w:t>
      </w:r>
      <w:r>
        <w:rPr>
          <w:rFonts w:hint="eastAsia" w:ascii="仿宋_GB2312" w:hAnsi="仿宋_GB2312" w:eastAsia="仿宋_GB2312" w:cs="仿宋_GB2312"/>
          <w:color w:val="FF0000"/>
          <w:sz w:val="32"/>
          <w:szCs w:val="32"/>
          <w:highlight w:val="none"/>
          <w:u w:val="single"/>
          <w:lang w:val="en-US" w:eastAsia="zh-CN"/>
        </w:rPr>
        <w:t xml:space="preserve">    </w:t>
      </w:r>
      <w:r>
        <w:rPr>
          <w:rFonts w:hint="eastAsia" w:ascii="仿宋_GB2312" w:hAnsi="仿宋_GB2312" w:eastAsia="仿宋_GB2312" w:cs="仿宋_GB2312"/>
          <w:b w:val="0"/>
          <w:bCs/>
          <w:color w:val="auto"/>
          <w:sz w:val="32"/>
          <w:szCs w:val="32"/>
          <w:highlight w:val="none"/>
          <w:lang w:val="en-US" w:eastAsia="zh-CN"/>
        </w:rPr>
        <w:t>年</w:t>
      </w:r>
      <w:r>
        <w:rPr>
          <w:rFonts w:hint="eastAsia" w:ascii="仿宋_GB2312" w:hAnsi="仿宋_GB2312" w:eastAsia="仿宋_GB2312" w:cs="仿宋_GB2312"/>
          <w:color w:val="FF0000"/>
          <w:sz w:val="32"/>
          <w:szCs w:val="32"/>
          <w:highlight w:val="none"/>
          <w:u w:val="single"/>
          <w:lang w:val="en-US" w:eastAsia="zh-CN"/>
        </w:rPr>
        <w:t xml:space="preserve">    </w:t>
      </w:r>
      <w:r>
        <w:rPr>
          <w:rFonts w:hint="eastAsia" w:ascii="仿宋_GB2312" w:hAnsi="仿宋_GB2312" w:eastAsia="仿宋_GB2312" w:cs="仿宋_GB2312"/>
          <w:b w:val="0"/>
          <w:bCs/>
          <w:color w:val="auto"/>
          <w:sz w:val="32"/>
          <w:szCs w:val="32"/>
          <w:highlight w:val="none"/>
          <w:lang w:val="en-US" w:eastAsia="zh-CN"/>
        </w:rPr>
        <w:t>月</w:t>
      </w:r>
      <w:r>
        <w:rPr>
          <w:rFonts w:hint="eastAsia" w:ascii="仿宋_GB2312" w:hAnsi="仿宋_GB2312" w:eastAsia="仿宋_GB2312" w:cs="仿宋_GB2312"/>
          <w:color w:val="FF0000"/>
          <w:sz w:val="32"/>
          <w:szCs w:val="32"/>
          <w:highlight w:val="none"/>
          <w:u w:val="single"/>
          <w:lang w:val="en-US" w:eastAsia="zh-CN"/>
        </w:rPr>
        <w:t xml:space="preserve">    </w:t>
      </w:r>
      <w:r>
        <w:rPr>
          <w:rFonts w:hint="eastAsia" w:ascii="仿宋_GB2312" w:hAnsi="仿宋_GB2312" w:eastAsia="仿宋_GB2312" w:cs="仿宋_GB2312"/>
          <w:b w:val="0"/>
          <w:bCs/>
          <w:color w:val="auto"/>
          <w:sz w:val="32"/>
          <w:szCs w:val="32"/>
          <w:highlight w:val="none"/>
          <w:lang w:val="en-US" w:eastAsia="zh-CN"/>
        </w:rPr>
        <w:t>日前一次性通过以下方式支付乙方服务费用。</w:t>
      </w:r>
    </w:p>
    <w:p w14:paraId="6A4556AA">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1.</w:t>
      </w:r>
      <w:r>
        <w:rPr>
          <w:rFonts w:hint="eastAsia" w:ascii="仿宋_GB2312" w:hAnsi="仿宋_GB2312" w:eastAsia="仿宋_GB2312" w:cs="仿宋_GB2312"/>
          <w:b w:val="0"/>
          <w:bCs/>
          <w:color w:val="auto"/>
          <w:sz w:val="32"/>
          <w:szCs w:val="32"/>
          <w:highlight w:val="none"/>
          <w:lang w:val="en-US" w:eastAsia="zh-CN"/>
        </w:rPr>
        <w:sym w:font="Wingdings" w:char="00A8"/>
      </w:r>
      <w:r>
        <w:rPr>
          <w:rFonts w:hint="eastAsia" w:ascii="仿宋_GB2312" w:hAnsi="仿宋_GB2312" w:eastAsia="仿宋_GB2312" w:cs="仿宋_GB2312"/>
          <w:b w:val="0"/>
          <w:bCs/>
          <w:color w:val="auto"/>
          <w:sz w:val="32"/>
          <w:szCs w:val="32"/>
          <w:highlight w:val="none"/>
          <w:lang w:val="en-US" w:eastAsia="zh-CN"/>
        </w:rPr>
        <w:t>现金支付；</w:t>
      </w:r>
    </w:p>
    <w:p w14:paraId="7810AA17">
      <w:pPr>
        <w:keepNext w:val="0"/>
        <w:keepLines w:val="0"/>
        <w:pageBreakBefore w:val="0"/>
        <w:numPr>
          <w:ilvl w:val="0"/>
          <w:numId w:val="0"/>
        </w:numPr>
        <w:kinsoku/>
        <w:wordWrap w:val="0"/>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 xml:space="preserve">   </w:t>
      </w:r>
      <w:r>
        <w:rPr>
          <w:rFonts w:hint="eastAsia" w:ascii="仿宋_GB2312" w:hAnsi="仿宋_GB2312" w:eastAsia="仿宋_GB2312" w:cs="仿宋_GB2312"/>
          <w:b w:val="0"/>
          <w:bCs/>
          <w:color w:val="auto"/>
          <w:sz w:val="32"/>
          <w:szCs w:val="32"/>
          <w:highlight w:val="none"/>
          <w:lang w:val="en-US" w:eastAsia="zh-CN"/>
        </w:rPr>
        <w:t xml:space="preserve"> 2.</w:t>
      </w:r>
      <w:r>
        <w:rPr>
          <w:rFonts w:hint="eastAsia" w:ascii="仿宋_GB2312" w:hAnsi="仿宋_GB2312" w:eastAsia="仿宋_GB2312" w:cs="仿宋_GB2312"/>
          <w:b w:val="0"/>
          <w:bCs/>
          <w:color w:val="auto"/>
          <w:sz w:val="32"/>
          <w:szCs w:val="32"/>
          <w:highlight w:val="none"/>
          <w:lang w:val="en-US" w:eastAsia="zh-CN"/>
        </w:rPr>
        <w:sym w:font="Wingdings" w:char="00A8"/>
      </w:r>
      <w:r>
        <w:rPr>
          <w:rFonts w:hint="eastAsia" w:ascii="仿宋_GB2312" w:hAnsi="仿宋_GB2312" w:eastAsia="仿宋_GB2312" w:cs="仿宋_GB2312"/>
          <w:b w:val="0"/>
          <w:bCs/>
          <w:color w:val="auto"/>
          <w:sz w:val="32"/>
          <w:szCs w:val="32"/>
          <w:highlight w:val="none"/>
          <w:lang w:val="en-US" w:eastAsia="zh-CN"/>
        </w:rPr>
        <w:t>转账方式支付，甲方通过微信扫码或网银转账方式将服务费用转入乙方在金融机构开设的对公账户。</w:t>
      </w:r>
    </w:p>
    <w:p w14:paraId="03D51368">
      <w:pPr>
        <w:keepNext w:val="0"/>
        <w:keepLines w:val="0"/>
        <w:pageBreakBefore w:val="0"/>
        <w:kinsoku/>
        <w:wordWrap w:val="0"/>
        <w:overflowPunct/>
        <w:topLinePunct w:val="0"/>
        <w:autoSpaceDE/>
        <w:autoSpaceDN/>
        <w:bidi w:val="0"/>
        <w:adjustRightInd/>
        <w:snapToGrid/>
        <w:spacing w:line="560" w:lineRule="exact"/>
        <w:ind w:firstLine="64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乙方应对其提供指定收款账户信息的真实性、安全性、准确性负责。如乙方的开户银行和银行账号发生变更，乙方应于变更后</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10  </w:t>
      </w:r>
      <w:r>
        <w:rPr>
          <w:rFonts w:hint="eastAsia" w:ascii="仿宋_GB2312" w:hAnsi="仿宋_GB2312" w:eastAsia="仿宋_GB2312" w:cs="仿宋_GB2312"/>
          <w:bCs/>
          <w:color w:val="auto"/>
          <w:sz w:val="32"/>
          <w:szCs w:val="32"/>
          <w:highlight w:val="none"/>
        </w:rPr>
        <w:t>日内就该变化书面通知甲方。如因乙方未及时通知或通知有误，甲方有权拒绝支付相应款项，且不承担任何违约责任。乙方收款信息如下：</w:t>
      </w:r>
    </w:p>
    <w:p w14:paraId="6D8DEEDE">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收款单位：</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农民专业合作社</w:t>
      </w:r>
    </w:p>
    <w:p w14:paraId="7367B74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开户行：</w:t>
      </w:r>
      <w:r>
        <w:rPr>
          <w:rFonts w:hint="eastAsia" w:ascii="仿宋_GB2312" w:hAnsi="仿宋_GB2312" w:eastAsia="仿宋_GB2312" w:cs="仿宋_GB2312"/>
          <w:kern w:val="21"/>
          <w:sz w:val="32"/>
          <w:szCs w:val="32"/>
          <w:u w:val="single"/>
          <w:lang w:val="en-US" w:eastAsia="zh-CN"/>
        </w:rPr>
        <w:t>XX</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支行</w:t>
      </w:r>
    </w:p>
    <w:p w14:paraId="1874435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方正楷体" w:hAnsi="方正楷体" w:eastAsia="方正楷体" w:cs="方正楷体"/>
          <w:color w:val="000000" w:themeColor="text1"/>
          <w:kern w:val="21"/>
          <w:sz w:val="32"/>
          <w:szCs w:val="32"/>
          <w:lang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账号：</w:t>
      </w:r>
      <w:r>
        <w:rPr>
          <w:rFonts w:hint="eastAsia" w:ascii="仿宋_GB2312" w:hAnsi="仿宋_GB2312" w:eastAsia="仿宋_GB2312" w:cs="仿宋_GB2312"/>
          <w:kern w:val="21"/>
          <w:sz w:val="32"/>
          <w:szCs w:val="32"/>
          <w:u w:val="single"/>
          <w:lang w:val="en-US" w:eastAsia="zh-CN"/>
        </w:rPr>
        <w:t>XX</w:t>
      </w:r>
      <w:bookmarkStart w:id="0" w:name="_GoBack"/>
      <w:bookmarkEnd w:id="0"/>
    </w:p>
    <w:p w14:paraId="27DECBA3">
      <w:pPr>
        <w:keepNext w:val="0"/>
        <w:keepLines w:val="0"/>
        <w:pageBreakBefore w:val="0"/>
        <w:kinsoku/>
        <w:wordWrap w:val="0"/>
        <w:overflowPunct/>
        <w:topLinePunct w:val="0"/>
        <w:autoSpaceDE/>
        <w:autoSpaceDN/>
        <w:bidi w:val="0"/>
        <w:adjustRightInd/>
        <w:snapToGrid/>
        <w:spacing w:line="560" w:lineRule="exact"/>
        <w:ind w:firstLine="640"/>
        <w:textAlignment w:val="auto"/>
        <w:rPr>
          <w:rFonts w:ascii="黑体" w:hAnsi="黑体" w:eastAsia="黑体" w:cs="黑体"/>
          <w:b/>
          <w:bCs/>
          <w:kern w:val="21"/>
          <w:sz w:val="32"/>
          <w:szCs w:val="32"/>
        </w:rPr>
      </w:pPr>
      <w:r>
        <w:rPr>
          <w:rFonts w:hint="default" w:ascii="黑体" w:hAnsi="黑体" w:eastAsia="黑体" w:cs="黑体"/>
          <w:b/>
          <w:bCs/>
          <w:kern w:val="21"/>
          <w:sz w:val="32"/>
          <w:szCs w:val="32"/>
        </w:rPr>
        <w:t>第</w:t>
      </w:r>
      <w:r>
        <w:rPr>
          <w:rFonts w:hint="eastAsia" w:ascii="黑体" w:hAnsi="黑体" w:eastAsia="黑体" w:cs="黑体"/>
          <w:b/>
          <w:bCs/>
          <w:kern w:val="21"/>
          <w:sz w:val="32"/>
          <w:szCs w:val="32"/>
          <w:lang w:eastAsia="zh-CN"/>
        </w:rPr>
        <w:t>六</w:t>
      </w:r>
      <w:r>
        <w:rPr>
          <w:rFonts w:hint="default" w:ascii="黑体" w:hAnsi="黑体" w:eastAsia="黑体" w:cs="黑体"/>
          <w:b/>
          <w:bCs/>
          <w:kern w:val="21"/>
          <w:sz w:val="32"/>
          <w:szCs w:val="32"/>
        </w:rPr>
        <w:t>条 甲乙双方</w:t>
      </w:r>
      <w:r>
        <w:rPr>
          <w:rFonts w:hint="eastAsia" w:ascii="黑体" w:hAnsi="黑体" w:eastAsia="黑体" w:cs="黑体"/>
          <w:b/>
          <w:bCs/>
          <w:kern w:val="21"/>
          <w:sz w:val="32"/>
          <w:szCs w:val="32"/>
        </w:rPr>
        <w:t>的权利和义务</w:t>
      </w:r>
    </w:p>
    <w:p w14:paraId="02845D54">
      <w:pPr>
        <w:keepNext w:val="0"/>
        <w:keepLines w:val="0"/>
        <w:pageBreakBefore w:val="0"/>
        <w:numPr>
          <w:ilvl w:val="0"/>
          <w:numId w:val="0"/>
        </w:numPr>
        <w:kinsoku/>
        <w:wordWrap w:val="0"/>
        <w:overflowPunct/>
        <w:topLinePunct w:val="0"/>
        <w:autoSpaceDE/>
        <w:autoSpaceDN/>
        <w:bidi w:val="0"/>
        <w:adjustRightInd/>
        <w:snapToGrid/>
        <w:spacing w:line="560" w:lineRule="exact"/>
        <w:textAlignment w:val="auto"/>
        <w:rPr>
          <w:rFonts w:hint="default" w:ascii="楷体_GB2312" w:hAnsi="楷体_GB2312" w:eastAsia="楷体_GB2312" w:cs="楷体_GB2312"/>
          <w:b/>
          <w:bCs w:val="0"/>
          <w:kern w:val="21"/>
          <w:sz w:val="32"/>
          <w:szCs w:val="32"/>
          <w:lang w:eastAsia="zh-CN"/>
        </w:rPr>
      </w:pPr>
      <w:r>
        <w:rPr>
          <w:rFonts w:hint="default" w:ascii="楷体_GB2312" w:hAnsi="楷体_GB2312" w:eastAsia="楷体_GB2312" w:cs="楷体_GB2312"/>
          <w:b/>
          <w:bCs w:val="0"/>
          <w:kern w:val="21"/>
          <w:sz w:val="32"/>
          <w:szCs w:val="32"/>
          <w:lang w:eastAsia="zh-CN"/>
        </w:rPr>
        <w:t xml:space="preserve">   </w:t>
      </w:r>
      <w:r>
        <w:rPr>
          <w:rFonts w:hint="default" w:ascii="楷体_GB2312" w:hAnsi="楷体_GB2312" w:eastAsia="楷体_GB2312" w:cs="楷体_GB2312"/>
          <w:b/>
          <w:kern w:val="21"/>
          <w:sz w:val="32"/>
          <w:szCs w:val="32"/>
        </w:rPr>
        <w:t>（一）</w:t>
      </w:r>
      <w:r>
        <w:rPr>
          <w:rFonts w:hint="default" w:ascii="楷体_GB2312" w:hAnsi="楷体_GB2312" w:eastAsia="楷体_GB2312" w:cs="楷体_GB2312"/>
          <w:b/>
          <w:bCs w:val="0"/>
          <w:kern w:val="21"/>
          <w:sz w:val="32"/>
          <w:szCs w:val="32"/>
          <w:lang w:eastAsia="zh-CN"/>
        </w:rPr>
        <w:t>甲方的权利和义务</w:t>
      </w:r>
    </w:p>
    <w:p w14:paraId="49A5B841">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1.托管服务期间始终享有对托管地块的承包经营权，托管地块产出农产品归甲方所有。</w:t>
      </w:r>
    </w:p>
    <w:p w14:paraId="67F1906A">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按照合同约定接受乙方提供的生产托管服务，要求乙方按照附件1：《农业生产托管服务标准指引》约定标准开展服务。对乙方服务进行监督和评价，验收服务效果。每一阶段服务完成后，甲方应予现场验收并在乙方农业生产托管服务台账上签字确认并进行服务评价，作为服务费结算依据。</w:t>
      </w:r>
      <w:r>
        <w:rPr>
          <w:rFonts w:hint="eastAsia" w:ascii="仿宋_GB2312" w:hAnsi="仿宋_GB2312" w:eastAsia="仿宋_GB2312" w:cs="仿宋_GB2312"/>
          <w:bCs/>
          <w:color w:val="auto"/>
          <w:sz w:val="32"/>
          <w:szCs w:val="32"/>
          <w:highlight w:val="none"/>
        </w:rPr>
        <w:t>服务不符合甲方要求的，乙方应当按甲方要求限期整改</w:t>
      </w:r>
      <w:r>
        <w:rPr>
          <w:rFonts w:hint="eastAsia" w:ascii="仿宋_GB2312" w:hAnsi="仿宋_GB2312" w:eastAsia="仿宋_GB2312" w:cs="仿宋_GB2312"/>
          <w:bCs/>
          <w:color w:val="auto"/>
          <w:sz w:val="32"/>
          <w:szCs w:val="32"/>
          <w:highlight w:val="none"/>
          <w:lang w:eastAsia="zh-CN"/>
        </w:rPr>
        <w:t>。</w:t>
      </w:r>
    </w:p>
    <w:p w14:paraId="6CF7F3A8">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有权阻止乙方实施破坏农用地和其他农业资源的行为。若因乙方故意或过失破坏托管地块种植条件、造成土地严重损害或者严重破坏土地生态环境的，有权要求乙方赔偿由此带来的损</w:t>
      </w:r>
      <w:r>
        <w:rPr>
          <w:rFonts w:hint="eastAsia" w:ascii="仿宋_GB2312" w:hAnsi="仿宋_GB2312" w:eastAsia="仿宋_GB2312" w:cs="仿宋_GB2312"/>
          <w:b w:val="0"/>
          <w:bCs/>
          <w:color w:val="auto"/>
          <w:sz w:val="32"/>
          <w:szCs w:val="32"/>
          <w:highlight w:val="none"/>
          <w:lang w:val="en-US" w:eastAsia="zh-CN"/>
        </w:rPr>
        <w:t>失。</w:t>
      </w:r>
    </w:p>
    <w:p w14:paraId="66BD1F86">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4.为乙方开展生产托管服务提供必要条件，按照农时时间界线，在每一环节托管开始前三天通知乙方做好开展生产托管服务各项准备工作。</w:t>
      </w:r>
    </w:p>
    <w:p w14:paraId="0E7BB0F6">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5.甲方在生产托管期间，不得将所托管的土地重复托管、承包、抵押、流转给他人，如有需要需经乙方同意，并签订书面补充协议。</w:t>
      </w:r>
    </w:p>
    <w:p w14:paraId="252311F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6.</w:t>
      </w:r>
      <w:r>
        <w:rPr>
          <w:rFonts w:hint="eastAsia" w:ascii="仿宋_GB2312" w:hAnsi="仿宋_GB2312" w:eastAsia="仿宋_GB2312" w:cs="仿宋_GB2312"/>
          <w:bCs/>
          <w:color w:val="auto"/>
          <w:sz w:val="32"/>
          <w:szCs w:val="32"/>
          <w:highlight w:val="none"/>
        </w:rPr>
        <w:t>乙方服务项目经过相关部门验收合格后，</w:t>
      </w:r>
      <w:r>
        <w:rPr>
          <w:rFonts w:hint="eastAsia" w:ascii="仿宋_GB2312" w:hAnsi="仿宋_GB2312" w:eastAsia="仿宋_GB2312" w:cs="仿宋_GB2312"/>
          <w:b w:val="0"/>
          <w:bCs/>
          <w:color w:val="auto"/>
          <w:sz w:val="32"/>
          <w:szCs w:val="32"/>
          <w:highlight w:val="none"/>
          <w:lang w:val="en-US" w:eastAsia="zh-CN"/>
        </w:rPr>
        <w:t>甲方有按时支付生产托管服务费用的义务，甲方将乙方生产托管服务费用全部付清后凭付款手续方能申请并享受项目补助资金。</w:t>
      </w:r>
    </w:p>
    <w:p w14:paraId="5D6D900E">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textAlignment w:val="auto"/>
        <w:rPr>
          <w:rFonts w:hint="default" w:ascii="楷体_GB2312" w:hAnsi="楷体_GB2312" w:eastAsia="楷体_GB2312" w:cs="楷体_GB2312"/>
          <w:b/>
          <w:bCs w:val="0"/>
          <w:kern w:val="21"/>
          <w:sz w:val="32"/>
          <w:szCs w:val="32"/>
          <w:lang w:eastAsia="zh-CN"/>
        </w:rPr>
      </w:pPr>
      <w:r>
        <w:rPr>
          <w:rFonts w:hint="default" w:ascii="楷体_GB2312" w:hAnsi="楷体_GB2312" w:eastAsia="楷体_GB2312" w:cs="楷体_GB2312"/>
          <w:b/>
          <w:bCs w:val="0"/>
          <w:kern w:val="21"/>
          <w:sz w:val="32"/>
          <w:szCs w:val="32"/>
          <w:lang w:eastAsia="zh-CN"/>
        </w:rPr>
        <w:t xml:space="preserve">    </w:t>
      </w:r>
      <w:r>
        <w:rPr>
          <w:rFonts w:hint="default" w:ascii="楷体_GB2312" w:hAnsi="楷体_GB2312" w:eastAsia="楷体_GB2312" w:cs="楷体_GB2312"/>
          <w:b/>
          <w:kern w:val="21"/>
          <w:sz w:val="32"/>
          <w:szCs w:val="32"/>
        </w:rPr>
        <w:t>（二）</w:t>
      </w:r>
      <w:r>
        <w:rPr>
          <w:rFonts w:hint="eastAsia" w:ascii="楷体_GB2312" w:hAnsi="楷体_GB2312" w:eastAsia="楷体_GB2312" w:cs="楷体_GB2312"/>
          <w:b/>
          <w:bCs w:val="0"/>
          <w:kern w:val="21"/>
          <w:sz w:val="32"/>
          <w:szCs w:val="32"/>
          <w:lang w:eastAsia="zh-CN"/>
        </w:rPr>
        <w:t>乙方的权利和义务</w:t>
      </w:r>
    </w:p>
    <w:p w14:paraId="2A25FC3F">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1.要求甲方在约定时间内提供必要的作业条件，并对服务结果和质量进行验收签字确认。</w:t>
      </w:r>
    </w:p>
    <w:p w14:paraId="60D0142B">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2.有按时按照约定标准收取生产托管服务费用的权利，除向甲方收取生产托管全额服务费用外，不得重复向甲方收费。</w:t>
      </w:r>
    </w:p>
    <w:p w14:paraId="79C6BBB0">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3.按照合同约定为甲方提供符合《农业生产托管服务标准指引》要求的生产托管服务，并向甲方解读服务内容。</w:t>
      </w:r>
    </w:p>
    <w:p w14:paraId="2ECF9912">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4.托管作业时保证托管地块四至边界无变化，因托管作业导致原边界不清所引起的矛盾纠纷，乙方负责解决</w:t>
      </w:r>
      <w:r>
        <w:rPr>
          <w:rFonts w:hint="eastAsia" w:ascii="仿宋_GB2312" w:hAnsi="仿宋_GB2312" w:eastAsia="仿宋_GB2312" w:cs="仿宋_GB2312"/>
          <w:bCs/>
          <w:color w:val="auto"/>
          <w:sz w:val="32"/>
          <w:szCs w:val="32"/>
          <w:highlight w:val="none"/>
        </w:rPr>
        <w:t>，因此而产生的全部费用（包括但不限于律师费、诉讼费、鉴定费、评估费等）由乙方自行承担</w:t>
      </w:r>
      <w:r>
        <w:rPr>
          <w:rFonts w:hint="eastAsia" w:ascii="仿宋_GB2312" w:hAnsi="仿宋_GB2312" w:eastAsia="仿宋_GB2312" w:cs="仿宋_GB2312"/>
          <w:b w:val="0"/>
          <w:bCs/>
          <w:color w:val="auto"/>
          <w:sz w:val="32"/>
          <w:szCs w:val="32"/>
          <w:highlight w:val="none"/>
          <w:lang w:val="en-US" w:eastAsia="zh-CN"/>
        </w:rPr>
        <w:t>。</w:t>
      </w:r>
    </w:p>
    <w:p w14:paraId="7975C614">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sz w:val="32"/>
          <w:szCs w:val="32"/>
          <w:highlight w:val="none"/>
          <w:lang w:val="en-US" w:eastAsia="zh-CN"/>
        </w:rPr>
        <w:t>5.由于自然灾害（旱灾、霜冻、洪涝、冰雹、风灾、地震</w:t>
      </w:r>
      <w:r>
        <w:rPr>
          <w:rFonts w:hint="eastAsia" w:ascii="仿宋_GB2312" w:hAnsi="仿宋_GB2312" w:eastAsia="仿宋_GB2312" w:cs="仿宋_GB2312"/>
          <w:color w:val="auto"/>
          <w:sz w:val="32"/>
          <w:szCs w:val="32"/>
          <w:highlight w:val="none"/>
        </w:rPr>
        <w:t>等自然灾害）造成的损失，乙方不承担责任。</w:t>
      </w:r>
    </w:p>
    <w:p w14:paraId="734541A1">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6.在提供生产托管服务时农业机械进地要保证托管地块农作物不受损害，按照服务标准和质量提供服务，如因乙方原因给甲方造成损失的</w:t>
      </w:r>
      <w:r>
        <w:rPr>
          <w:rFonts w:hint="eastAsia" w:ascii="仿宋_GB2312" w:hAnsi="仿宋_GB2312" w:eastAsia="仿宋_GB2312" w:cs="仿宋_GB2312"/>
          <w:bCs/>
          <w:color w:val="auto"/>
          <w:sz w:val="32"/>
          <w:szCs w:val="32"/>
          <w:highlight w:val="none"/>
          <w:lang w:val="en-US" w:eastAsia="zh-CN"/>
        </w:rPr>
        <w:t>由</w:t>
      </w:r>
      <w:r>
        <w:rPr>
          <w:rFonts w:hint="eastAsia" w:ascii="仿宋_GB2312" w:hAnsi="仿宋_GB2312" w:eastAsia="仿宋_GB2312" w:cs="仿宋_GB2312"/>
          <w:b w:val="0"/>
          <w:bCs/>
          <w:color w:val="auto"/>
          <w:sz w:val="32"/>
          <w:szCs w:val="32"/>
          <w:highlight w:val="none"/>
          <w:lang w:val="en-US" w:eastAsia="zh-CN"/>
        </w:rPr>
        <w:t>乙方负责赔偿，在从事飞防作物时应注意周边农户种植作物安全性，如给周边农户造成损失由乙方负责赔偿。</w:t>
      </w:r>
    </w:p>
    <w:p w14:paraId="4C74B2D8">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7.严格履行安全生产操作要求，加强对托管服务人员的管理和安全生产教育，确保不出安全事故，给甲方农作物不造成损失，如因乙方违反操作规程造成人员和农机安全事故责任全部由乙方负担，与甲方无关。</w:t>
      </w:r>
    </w:p>
    <w:p w14:paraId="16642236">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ascii="黑体" w:hAnsi="黑体" w:eastAsia="黑体" w:cs="黑体"/>
          <w:b/>
          <w:bCs/>
          <w:kern w:val="21"/>
          <w:sz w:val="32"/>
          <w:szCs w:val="32"/>
        </w:rPr>
      </w:pPr>
      <w:r>
        <w:rPr>
          <w:rFonts w:hint="default" w:ascii="黑体" w:hAnsi="黑体" w:eastAsia="黑体" w:cs="黑体"/>
          <w:b/>
          <w:bCs/>
          <w:kern w:val="21"/>
          <w:sz w:val="32"/>
          <w:szCs w:val="32"/>
        </w:rPr>
        <w:t>第</w:t>
      </w:r>
      <w:r>
        <w:rPr>
          <w:rFonts w:hint="eastAsia" w:ascii="黑体" w:hAnsi="黑体" w:eastAsia="黑体" w:cs="黑体"/>
          <w:b/>
          <w:bCs/>
          <w:kern w:val="21"/>
          <w:sz w:val="32"/>
          <w:szCs w:val="32"/>
          <w:lang w:eastAsia="zh-CN"/>
        </w:rPr>
        <w:t>七</w:t>
      </w:r>
      <w:r>
        <w:rPr>
          <w:rFonts w:hint="default" w:ascii="黑体" w:hAnsi="黑体" w:eastAsia="黑体" w:cs="黑体"/>
          <w:b/>
          <w:bCs/>
          <w:kern w:val="21"/>
          <w:sz w:val="32"/>
          <w:szCs w:val="32"/>
        </w:rPr>
        <w:t xml:space="preserve">条 </w:t>
      </w:r>
      <w:r>
        <w:rPr>
          <w:rFonts w:hint="eastAsia" w:ascii="黑体" w:hAnsi="黑体" w:eastAsia="黑体" w:cs="黑体"/>
          <w:b/>
          <w:bCs/>
          <w:kern w:val="21"/>
          <w:sz w:val="32"/>
          <w:szCs w:val="32"/>
        </w:rPr>
        <w:t>违约责任</w:t>
      </w:r>
    </w:p>
    <w:p w14:paraId="7B7CFF7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（一）甲方逾期未支付服务费用的，</w:t>
      </w:r>
      <w:r>
        <w:rPr>
          <w:rFonts w:hint="eastAsia" w:ascii="仿宋_GB2312" w:hAnsi="仿宋_GB2312" w:eastAsia="仿宋_GB2312" w:cs="仿宋_GB2312"/>
          <w:kern w:val="21"/>
          <w:sz w:val="32"/>
          <w:szCs w:val="32"/>
          <w:lang w:eastAsia="zh-CN"/>
        </w:rPr>
        <w:t>从逾期之日起每日</w:t>
      </w:r>
      <w:r>
        <w:rPr>
          <w:rFonts w:hint="default" w:ascii="仿宋_GB2312" w:hAnsi="仿宋_GB2312" w:eastAsia="仿宋_GB2312" w:cs="仿宋_GB2312"/>
          <w:kern w:val="21"/>
          <w:sz w:val="32"/>
          <w:szCs w:val="32"/>
        </w:rPr>
        <w:t>按应支付服务费用总额的</w:t>
      </w:r>
      <w:r>
        <w:rPr>
          <w:rFonts w:hint="default" w:ascii="华文仿宋" w:hAnsi="华文仿宋" w:eastAsia="华文仿宋" w:cs="华文仿宋"/>
          <w:kern w:val="21"/>
          <w:sz w:val="32"/>
          <w:szCs w:val="32"/>
          <w:u w:val="none"/>
          <w:lang w:eastAsia="zh-CN"/>
        </w:rPr>
        <w:t>百分之</w:t>
      </w:r>
      <w:r>
        <w:rPr>
          <w:rFonts w:hint="eastAsia" w:ascii="华文仿宋" w:hAnsi="华文仿宋" w:eastAsia="华文仿宋" w:cs="华文仿宋"/>
          <w:kern w:val="21"/>
          <w:sz w:val="32"/>
          <w:szCs w:val="32"/>
          <w:u w:val="single"/>
          <w:lang w:val="en-US" w:eastAsia="zh-CN"/>
        </w:rPr>
        <w:t xml:space="preserve"> 零点零五 </w:t>
      </w:r>
      <w:r>
        <w:rPr>
          <w:rFonts w:hint="default" w:ascii="华文仿宋" w:hAnsi="华文仿宋" w:eastAsia="华文仿宋" w:cs="华文仿宋"/>
          <w:kern w:val="21"/>
          <w:sz w:val="32"/>
          <w:szCs w:val="32"/>
          <w:u w:val="none"/>
          <w:lang w:eastAsia="zh-CN"/>
        </w:rPr>
        <w:t>（小写</w:t>
      </w:r>
      <w:r>
        <w:rPr>
          <w:rFonts w:hint="default" w:ascii="仿宋_GB2312" w:hAnsi="仿宋_GB2312" w:eastAsia="仿宋_GB2312" w:cs="仿宋_GB2312"/>
          <w:kern w:val="21"/>
          <w:sz w:val="32"/>
          <w:szCs w:val="32"/>
        </w:rPr>
        <w:t>：</w:t>
      </w:r>
      <w:r>
        <w:rPr>
          <w:rFonts w:hint="eastAsia" w:ascii="华文仿宋" w:hAnsi="华文仿宋" w:eastAsia="华文仿宋" w:cs="华文仿宋"/>
          <w:kern w:val="21"/>
          <w:sz w:val="32"/>
          <w:szCs w:val="32"/>
          <w:u w:val="single"/>
          <w:lang w:val="en-US" w:eastAsia="zh-CN"/>
        </w:rPr>
        <w:t>0.05</w:t>
      </w:r>
      <w:r>
        <w:rPr>
          <w:rFonts w:hint="eastAsia" w:ascii="仿宋_GB2312" w:hAnsi="仿宋_GB2312" w:eastAsia="仿宋_GB2312" w:cs="仿宋_GB2312"/>
          <w:kern w:val="21"/>
          <w:sz w:val="32"/>
          <w:szCs w:val="32"/>
          <w:lang w:val="en-US" w:eastAsia="zh-CN"/>
        </w:rPr>
        <w:t>%</w:t>
      </w:r>
      <w:r>
        <w:rPr>
          <w:rFonts w:hint="default" w:ascii="华文仿宋" w:hAnsi="华文仿宋" w:eastAsia="华文仿宋" w:cs="华文仿宋"/>
          <w:kern w:val="21"/>
          <w:sz w:val="32"/>
          <w:szCs w:val="32"/>
          <w:u w:val="none"/>
          <w:lang w:eastAsia="zh-CN"/>
        </w:rPr>
        <w:t>）</w:t>
      </w:r>
      <w:r>
        <w:rPr>
          <w:rFonts w:hint="default" w:ascii="仿宋_GB2312" w:hAnsi="仿宋_GB2312" w:eastAsia="仿宋_GB2312" w:cs="仿宋_GB2312"/>
          <w:kern w:val="21"/>
          <w:sz w:val="32"/>
          <w:szCs w:val="32"/>
          <w:lang w:eastAsia="zh-CN"/>
        </w:rPr>
        <w:t>向乙方支付违约金</w:t>
      </w:r>
      <w:r>
        <w:rPr>
          <w:rFonts w:hint="default" w:ascii="仿宋_GB2312" w:hAnsi="仿宋_GB2312" w:eastAsia="仿宋_GB2312" w:cs="仿宋_GB2312"/>
          <w:kern w:val="21"/>
          <w:sz w:val="32"/>
          <w:szCs w:val="32"/>
        </w:rPr>
        <w:t>，</w:t>
      </w:r>
      <w:r>
        <w:rPr>
          <w:rFonts w:hint="default" w:ascii="仿宋_GB2312" w:hAnsi="仿宋_GB2312" w:eastAsia="仿宋_GB2312" w:cs="仿宋_GB2312"/>
          <w:kern w:val="21"/>
          <w:sz w:val="32"/>
          <w:szCs w:val="32"/>
          <w:lang w:eastAsia="zh-CN"/>
        </w:rPr>
        <w:t>但不超过应付服务费用总额的百分之</w:t>
      </w:r>
      <w:r>
        <w:rPr>
          <w:rFonts w:hint="default" w:ascii="华文仿宋" w:hAnsi="华文仿宋" w:eastAsia="华文仿宋" w:cs="华文仿宋"/>
          <w:kern w:val="21"/>
          <w:sz w:val="32"/>
          <w:szCs w:val="32"/>
          <w:u w:val="none"/>
          <w:lang w:eastAsia="zh-CN"/>
        </w:rPr>
        <w:t>五十</w:t>
      </w:r>
      <w:r>
        <w:rPr>
          <w:rFonts w:hint="default" w:ascii="仿宋_GB2312" w:hAnsi="仿宋_GB2312" w:eastAsia="仿宋_GB2312" w:cs="仿宋_GB2312"/>
          <w:kern w:val="21"/>
          <w:sz w:val="32"/>
          <w:szCs w:val="32"/>
        </w:rPr>
        <w:t>。</w:t>
      </w:r>
    </w:p>
    <w:p w14:paraId="0C63D3F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（二）乙方未按本合同约定提供服务，造成甲方损失的，应予以赔偿，具体赔偿金额和方式双方协商确定。</w:t>
      </w:r>
    </w:p>
    <w:p w14:paraId="70193D3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（三）</w:t>
      </w:r>
      <w:r>
        <w:rPr>
          <w:rFonts w:hint="eastAsia" w:ascii="仿宋_GB2312" w:hAnsi="仿宋_GB2312" w:eastAsia="仿宋_GB2312" w:cs="仿宋_GB2312"/>
          <w:kern w:val="21"/>
          <w:sz w:val="32"/>
          <w:szCs w:val="32"/>
        </w:rPr>
        <w:t>任何一方违约所造成的损失，均由违约方负责赔偿。</w:t>
      </w:r>
    </w:p>
    <w:p w14:paraId="1A2C42E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（四）</w:t>
      </w:r>
      <w:r>
        <w:rPr>
          <w:rFonts w:hint="eastAsia" w:ascii="仿宋_GB2312" w:hAnsi="仿宋_GB2312" w:eastAsia="仿宋_GB2312" w:cs="仿宋_GB2312"/>
          <w:kern w:val="21"/>
          <w:sz w:val="32"/>
          <w:szCs w:val="32"/>
        </w:rPr>
        <w:t>因不可抗力</w:t>
      </w:r>
      <w:r>
        <w:rPr>
          <w:rFonts w:hint="default" w:ascii="仿宋_GB2312" w:hAnsi="仿宋_GB2312" w:eastAsia="仿宋_GB2312" w:cs="仿宋_GB2312"/>
          <w:kern w:val="21"/>
          <w:sz w:val="32"/>
          <w:szCs w:val="32"/>
        </w:rPr>
        <w:t>等重大因素导致</w:t>
      </w:r>
      <w:r>
        <w:rPr>
          <w:rFonts w:hint="eastAsia" w:ascii="仿宋_GB2312" w:hAnsi="仿宋_GB2312" w:eastAsia="仿宋_GB2312" w:cs="仿宋_GB2312"/>
          <w:kern w:val="21"/>
          <w:sz w:val="32"/>
          <w:szCs w:val="32"/>
        </w:rPr>
        <w:t>本合同无法履行的，</w:t>
      </w:r>
      <w:r>
        <w:rPr>
          <w:rFonts w:hint="default" w:ascii="仿宋_GB2312" w:hAnsi="仿宋_GB2312" w:eastAsia="仿宋_GB2312" w:cs="仿宋_GB2312"/>
          <w:kern w:val="21"/>
          <w:sz w:val="32"/>
          <w:szCs w:val="32"/>
        </w:rPr>
        <w:t>双方</w:t>
      </w:r>
      <w:r>
        <w:rPr>
          <w:rFonts w:hint="eastAsia" w:ascii="仿宋_GB2312" w:hAnsi="仿宋_GB2312" w:eastAsia="仿宋_GB2312" w:cs="仿宋_GB2312"/>
          <w:kern w:val="21"/>
          <w:sz w:val="32"/>
          <w:szCs w:val="32"/>
        </w:rPr>
        <w:t>可以</w:t>
      </w:r>
      <w:r>
        <w:rPr>
          <w:rFonts w:hint="default" w:ascii="仿宋_GB2312" w:hAnsi="仿宋_GB2312" w:eastAsia="仿宋_GB2312" w:cs="仿宋_GB2312"/>
          <w:kern w:val="21"/>
          <w:sz w:val="32"/>
          <w:szCs w:val="32"/>
        </w:rPr>
        <w:t>协商</w:t>
      </w:r>
      <w:r>
        <w:rPr>
          <w:rFonts w:hint="eastAsia" w:ascii="仿宋_GB2312" w:hAnsi="仿宋_GB2312" w:eastAsia="仿宋_GB2312" w:cs="仿宋_GB2312"/>
          <w:kern w:val="21"/>
          <w:sz w:val="32"/>
          <w:szCs w:val="32"/>
        </w:rPr>
        <w:t>解除本合同，双方</w:t>
      </w:r>
      <w:r>
        <w:rPr>
          <w:rFonts w:hint="default" w:ascii="仿宋_GB2312" w:hAnsi="仿宋_GB2312" w:eastAsia="仿宋_GB2312" w:cs="仿宋_GB2312"/>
          <w:kern w:val="21"/>
          <w:sz w:val="32"/>
          <w:szCs w:val="32"/>
        </w:rPr>
        <w:t>均</w:t>
      </w:r>
      <w:r>
        <w:rPr>
          <w:rFonts w:hint="eastAsia" w:ascii="仿宋_GB2312" w:hAnsi="仿宋_GB2312" w:eastAsia="仿宋_GB2312" w:cs="仿宋_GB2312"/>
          <w:kern w:val="21"/>
          <w:sz w:val="32"/>
          <w:szCs w:val="32"/>
        </w:rPr>
        <w:t>不承担违约责任。</w:t>
      </w:r>
    </w:p>
    <w:p w14:paraId="60F8927E">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1"/>
          <w:sz w:val="32"/>
          <w:szCs w:val="32"/>
        </w:rPr>
      </w:pPr>
      <w:r>
        <w:rPr>
          <w:rFonts w:hint="default" w:ascii="黑体" w:hAnsi="黑体" w:eastAsia="黑体" w:cs="黑体"/>
          <w:b/>
          <w:bCs/>
          <w:kern w:val="21"/>
          <w:sz w:val="32"/>
          <w:szCs w:val="32"/>
        </w:rPr>
        <w:t>第</w:t>
      </w:r>
      <w:r>
        <w:rPr>
          <w:rFonts w:hint="eastAsia" w:ascii="黑体" w:hAnsi="黑体" w:eastAsia="黑体" w:cs="黑体"/>
          <w:b/>
          <w:bCs/>
          <w:kern w:val="21"/>
          <w:sz w:val="32"/>
          <w:szCs w:val="32"/>
          <w:lang w:eastAsia="zh-CN"/>
        </w:rPr>
        <w:t>八</w:t>
      </w:r>
      <w:r>
        <w:rPr>
          <w:rFonts w:hint="default" w:ascii="黑体" w:hAnsi="黑体" w:eastAsia="黑体" w:cs="黑体"/>
          <w:b/>
          <w:bCs/>
          <w:kern w:val="21"/>
          <w:sz w:val="32"/>
          <w:szCs w:val="32"/>
        </w:rPr>
        <w:t>条 争议处理</w:t>
      </w:r>
    </w:p>
    <w:p w14:paraId="6D9D75B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甲乙双方发生争议，应协商解决。如协商不成，</w:t>
      </w:r>
      <w:r>
        <w:rPr>
          <w:rFonts w:hint="eastAsia" w:ascii="仿宋_GB2312" w:hAnsi="仿宋_GB2312" w:eastAsia="仿宋_GB2312" w:cs="仿宋_GB2312"/>
          <w:kern w:val="21"/>
          <w:sz w:val="32"/>
          <w:szCs w:val="32"/>
        </w:rPr>
        <w:t>可以向</w:t>
      </w:r>
      <w:r>
        <w:rPr>
          <w:rFonts w:hint="default" w:ascii="仿宋_GB2312" w:hAnsi="仿宋_GB2312" w:eastAsia="仿宋_GB2312" w:cs="仿宋_GB2312"/>
          <w:kern w:val="21"/>
          <w:sz w:val="32"/>
          <w:szCs w:val="32"/>
        </w:rPr>
        <w:t>服务所在地</w:t>
      </w:r>
      <w:r>
        <w:rPr>
          <w:rFonts w:hint="eastAsia" w:ascii="仿宋_GB2312" w:hAnsi="仿宋_GB2312" w:eastAsia="仿宋_GB2312" w:cs="仿宋_GB2312"/>
          <w:kern w:val="21"/>
          <w:sz w:val="32"/>
          <w:szCs w:val="32"/>
        </w:rPr>
        <w:t>农业行政主管部门申请调解，</w:t>
      </w:r>
      <w:r>
        <w:rPr>
          <w:rFonts w:hint="default" w:ascii="仿宋_GB2312" w:hAnsi="仿宋_GB2312" w:eastAsia="仿宋_GB2312" w:cs="仿宋_GB2312"/>
          <w:kern w:val="21"/>
          <w:sz w:val="32"/>
          <w:szCs w:val="32"/>
        </w:rPr>
        <w:t>也可以向服务所在地人民法院提起诉讼。</w:t>
      </w:r>
    </w:p>
    <w:p w14:paraId="67D4D801">
      <w:pPr>
        <w:keepNext w:val="0"/>
        <w:keepLines w:val="0"/>
        <w:pageBreakBefore w:val="0"/>
        <w:kinsoku/>
        <w:wordWrap w:val="0"/>
        <w:overflowPunct/>
        <w:topLinePunct w:val="0"/>
        <w:autoSpaceDE/>
        <w:autoSpaceDN/>
        <w:bidi w:val="0"/>
        <w:adjustRightInd/>
        <w:snapToGrid/>
        <w:spacing w:line="560" w:lineRule="exact"/>
        <w:ind w:firstLine="643" w:firstLineChars="200"/>
        <w:textAlignment w:val="auto"/>
        <w:rPr>
          <w:rFonts w:ascii="黑体" w:hAnsi="黑体" w:eastAsia="黑体" w:cs="黑体"/>
          <w:b/>
          <w:bCs/>
          <w:kern w:val="21"/>
          <w:sz w:val="32"/>
          <w:szCs w:val="32"/>
        </w:rPr>
      </w:pPr>
      <w:r>
        <w:rPr>
          <w:rFonts w:hint="default" w:ascii="黑体" w:hAnsi="黑体" w:eastAsia="黑体" w:cs="黑体"/>
          <w:b/>
          <w:bCs/>
          <w:kern w:val="21"/>
          <w:sz w:val="32"/>
          <w:szCs w:val="32"/>
        </w:rPr>
        <w:t xml:space="preserve">第九条 </w:t>
      </w:r>
      <w:r>
        <w:rPr>
          <w:rFonts w:hint="eastAsia" w:ascii="黑体" w:hAnsi="黑体" w:eastAsia="黑体" w:cs="黑体"/>
          <w:b/>
          <w:bCs/>
          <w:kern w:val="21"/>
          <w:sz w:val="32"/>
          <w:szCs w:val="32"/>
        </w:rPr>
        <w:t>其他约定事项</w:t>
      </w:r>
    </w:p>
    <w:p w14:paraId="4B1368C4">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（一）</w:t>
      </w:r>
      <w:r>
        <w:rPr>
          <w:rFonts w:hint="eastAsia" w:ascii="仿宋_GB2312" w:hAnsi="仿宋_GB2312" w:eastAsia="仿宋_GB2312" w:cs="仿宋_GB2312"/>
          <w:kern w:val="21"/>
          <w:sz w:val="32"/>
          <w:szCs w:val="32"/>
        </w:rPr>
        <w:t>本合同自甲乙双方签字之日起生效。</w:t>
      </w:r>
    </w:p>
    <w:p w14:paraId="281EB8D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（二）未尽或须调整事宜经</w:t>
      </w:r>
      <w:r>
        <w:rPr>
          <w:rFonts w:hint="eastAsia" w:ascii="仿宋_GB2312" w:hAnsi="仿宋_GB2312" w:eastAsia="仿宋_GB2312" w:cs="仿宋_GB2312"/>
          <w:kern w:val="21"/>
          <w:sz w:val="32"/>
          <w:szCs w:val="32"/>
        </w:rPr>
        <w:t>甲乙双方</w:t>
      </w:r>
      <w:r>
        <w:rPr>
          <w:rFonts w:hint="default" w:ascii="仿宋_GB2312" w:hAnsi="仿宋_GB2312" w:eastAsia="仿宋_GB2312" w:cs="仿宋_GB2312"/>
          <w:kern w:val="21"/>
          <w:sz w:val="32"/>
          <w:szCs w:val="32"/>
        </w:rPr>
        <w:t>协商一致可签订补充协议，补充协议与</w:t>
      </w:r>
      <w:r>
        <w:rPr>
          <w:rFonts w:hint="eastAsia" w:ascii="仿宋_GB2312" w:hAnsi="仿宋_GB2312" w:eastAsia="仿宋_GB2312" w:cs="仿宋_GB2312"/>
          <w:kern w:val="21"/>
          <w:sz w:val="32"/>
          <w:szCs w:val="32"/>
        </w:rPr>
        <w:t>本合同</w:t>
      </w:r>
      <w:r>
        <w:rPr>
          <w:rFonts w:hint="default" w:ascii="仿宋_GB2312" w:hAnsi="仿宋_GB2312" w:eastAsia="仿宋_GB2312" w:cs="仿宋_GB2312"/>
          <w:kern w:val="21"/>
          <w:sz w:val="32"/>
          <w:szCs w:val="32"/>
        </w:rPr>
        <w:t>具有同等法律效力</w:t>
      </w:r>
      <w:r>
        <w:rPr>
          <w:rFonts w:hint="eastAsia" w:ascii="仿宋_GB2312" w:hAnsi="仿宋_GB2312" w:eastAsia="仿宋_GB2312" w:cs="仿宋_GB2312"/>
          <w:kern w:val="21"/>
          <w:sz w:val="32"/>
          <w:szCs w:val="32"/>
        </w:rPr>
        <w:t>。</w:t>
      </w:r>
      <w:r>
        <w:rPr>
          <w:rFonts w:hint="default" w:ascii="仿宋_GB2312" w:hAnsi="仿宋_GB2312" w:eastAsia="仿宋_GB2312" w:cs="仿宋_GB2312"/>
          <w:kern w:val="21"/>
          <w:sz w:val="32"/>
          <w:szCs w:val="32"/>
        </w:rPr>
        <w:t>补充协议与本合同不一致的，以补充协议为准。</w:t>
      </w:r>
    </w:p>
    <w:p w14:paraId="36DF0D0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（三）服务所在地</w:t>
      </w:r>
      <w:r>
        <w:rPr>
          <w:rFonts w:hint="eastAsia" w:ascii="仿宋_GB2312" w:hAnsi="仿宋_GB2312" w:eastAsia="仿宋_GB2312" w:cs="仿宋_GB2312"/>
          <w:kern w:val="21"/>
          <w:sz w:val="32"/>
          <w:szCs w:val="32"/>
        </w:rPr>
        <w:t>村委会</w:t>
      </w:r>
      <w:r>
        <w:rPr>
          <w:rFonts w:hint="default" w:ascii="仿宋_GB2312" w:hAnsi="仿宋_GB2312" w:eastAsia="仿宋_GB2312" w:cs="仿宋_GB2312"/>
          <w:kern w:val="21"/>
          <w:sz w:val="32"/>
          <w:szCs w:val="32"/>
        </w:rPr>
        <w:t>或村集体经济组织可对甲乙双方的托管服务关系予以指导和监督。</w:t>
      </w:r>
    </w:p>
    <w:p w14:paraId="2195C75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（四）</w:t>
      </w:r>
      <w:r>
        <w:rPr>
          <w:rFonts w:hint="eastAsia" w:ascii="仿宋_GB2312" w:hAnsi="仿宋_GB2312" w:eastAsia="仿宋_GB2312" w:cs="仿宋_GB2312"/>
          <w:kern w:val="21"/>
          <w:sz w:val="32"/>
          <w:szCs w:val="32"/>
        </w:rPr>
        <w:t>本合同</w:t>
      </w:r>
      <w:r>
        <w:rPr>
          <w:rFonts w:hint="default" w:ascii="仿宋_GB2312" w:hAnsi="仿宋_GB2312" w:eastAsia="仿宋_GB2312" w:cs="仿宋_GB2312"/>
          <w:kern w:val="21"/>
          <w:sz w:val="32"/>
          <w:szCs w:val="32"/>
        </w:rPr>
        <w:t>（包括</w:t>
      </w:r>
      <w:r>
        <w:rPr>
          <w:rFonts w:hint="eastAsia" w:ascii="仿宋_GB2312" w:hAnsi="仿宋_GB2312" w:eastAsia="仿宋_GB2312" w:cs="仿宋_GB2312"/>
          <w:kern w:val="21"/>
          <w:sz w:val="32"/>
          <w:szCs w:val="32"/>
        </w:rPr>
        <w:t>附</w:t>
      </w:r>
      <w:r>
        <w:rPr>
          <w:rFonts w:hint="default" w:ascii="仿宋_GB2312" w:hAnsi="仿宋_GB2312" w:eastAsia="仿宋_GB2312" w:cs="仿宋_GB2312"/>
          <w:kern w:val="21"/>
          <w:sz w:val="32"/>
          <w:szCs w:val="32"/>
        </w:rPr>
        <w:t>件</w:t>
      </w:r>
      <w:r>
        <w:rPr>
          <w:rFonts w:hint="eastAsia" w:ascii="仿宋_GB2312" w:hAnsi="仿宋_GB2312" w:eastAsia="仿宋_GB2312" w:cs="仿宋_GB2312"/>
          <w:kern w:val="21"/>
          <w:sz w:val="32"/>
          <w:szCs w:val="32"/>
        </w:rPr>
        <w:t>《农</w:t>
      </w:r>
      <w:r>
        <w:rPr>
          <w:rFonts w:hint="eastAsia" w:ascii="仿宋_GB2312" w:hAnsi="仿宋_GB2312" w:eastAsia="仿宋_GB2312" w:cs="仿宋_GB2312"/>
          <w:kern w:val="21"/>
          <w:sz w:val="32"/>
          <w:szCs w:val="32"/>
          <w:lang w:eastAsia="zh-CN"/>
        </w:rPr>
        <w:t>业</w:t>
      </w:r>
      <w:r>
        <w:rPr>
          <w:rFonts w:hint="eastAsia" w:ascii="仿宋_GB2312" w:hAnsi="仿宋_GB2312" w:eastAsia="仿宋_GB2312" w:cs="仿宋_GB2312"/>
          <w:kern w:val="21"/>
          <w:sz w:val="32"/>
          <w:szCs w:val="32"/>
        </w:rPr>
        <w:t>生产托管服务</w:t>
      </w:r>
      <w:r>
        <w:rPr>
          <w:rFonts w:hint="default" w:ascii="仿宋_GB2312" w:hAnsi="仿宋_GB2312" w:eastAsia="仿宋_GB2312" w:cs="仿宋_GB2312"/>
          <w:kern w:val="21"/>
          <w:sz w:val="32"/>
          <w:szCs w:val="32"/>
        </w:rPr>
        <w:t>标准</w:t>
      </w:r>
      <w:r>
        <w:rPr>
          <w:rFonts w:hint="eastAsia" w:ascii="仿宋_GB2312" w:hAnsi="仿宋_GB2312" w:eastAsia="仿宋_GB2312" w:cs="仿宋_GB2312"/>
          <w:kern w:val="21"/>
          <w:sz w:val="32"/>
          <w:szCs w:val="32"/>
        </w:rPr>
        <w:t>指引》</w:t>
      </w:r>
      <w:r>
        <w:rPr>
          <w:rFonts w:hint="default" w:ascii="仿宋_GB2312" w:hAnsi="仿宋_GB2312" w:eastAsia="仿宋_GB2312" w:cs="仿宋_GB2312"/>
          <w:kern w:val="21"/>
          <w:sz w:val="32"/>
          <w:szCs w:val="32"/>
        </w:rPr>
        <w:t>）</w:t>
      </w:r>
      <w:r>
        <w:rPr>
          <w:rFonts w:hint="eastAsia" w:ascii="仿宋_GB2312" w:hAnsi="仿宋_GB2312" w:eastAsia="仿宋_GB2312" w:cs="仿宋_GB2312"/>
          <w:kern w:val="21"/>
          <w:sz w:val="32"/>
          <w:szCs w:val="32"/>
        </w:rPr>
        <w:t>一式</w:t>
      </w:r>
      <w:r>
        <w:rPr>
          <w:rFonts w:hint="default" w:ascii="仿宋_GB2312" w:hAnsi="仿宋_GB2312" w:eastAsia="仿宋_GB2312" w:cs="仿宋_GB2312"/>
          <w:kern w:val="21"/>
          <w:sz w:val="32"/>
          <w:szCs w:val="32"/>
        </w:rPr>
        <w:t>两</w:t>
      </w:r>
      <w:r>
        <w:rPr>
          <w:rFonts w:hint="eastAsia" w:ascii="仿宋_GB2312" w:hAnsi="仿宋_GB2312" w:eastAsia="仿宋_GB2312" w:cs="仿宋_GB2312"/>
          <w:kern w:val="21"/>
          <w:sz w:val="32"/>
          <w:szCs w:val="32"/>
        </w:rPr>
        <w:t>份，甲乙双方各</w:t>
      </w:r>
      <w:r>
        <w:rPr>
          <w:rFonts w:hint="default" w:ascii="仿宋_GB2312" w:hAnsi="仿宋_GB2312" w:eastAsia="仿宋_GB2312" w:cs="仿宋_GB2312"/>
          <w:kern w:val="21"/>
          <w:sz w:val="32"/>
          <w:szCs w:val="32"/>
        </w:rPr>
        <w:t>持</w:t>
      </w:r>
      <w:r>
        <w:rPr>
          <w:rFonts w:hint="eastAsia" w:ascii="仿宋_GB2312" w:hAnsi="仿宋_GB2312" w:eastAsia="仿宋_GB2312" w:cs="仿宋_GB2312"/>
          <w:kern w:val="21"/>
          <w:sz w:val="32"/>
          <w:szCs w:val="32"/>
        </w:rPr>
        <w:t>一份</w:t>
      </w:r>
      <w:r>
        <w:rPr>
          <w:rFonts w:hint="default" w:ascii="仿宋_GB2312" w:hAnsi="仿宋_GB2312" w:eastAsia="仿宋_GB2312" w:cs="仿宋_GB2312"/>
          <w:kern w:val="21"/>
          <w:sz w:val="32"/>
          <w:szCs w:val="32"/>
        </w:rPr>
        <w:t>，具有同等法律效力</w:t>
      </w:r>
      <w:r>
        <w:rPr>
          <w:rFonts w:hint="eastAsia" w:ascii="仿宋_GB2312" w:hAnsi="仿宋_GB2312" w:eastAsia="仿宋_GB2312" w:cs="仿宋_GB2312"/>
          <w:kern w:val="21"/>
          <w:sz w:val="32"/>
          <w:szCs w:val="32"/>
        </w:rPr>
        <w:t>。</w:t>
      </w:r>
    </w:p>
    <w:p w14:paraId="4A12A36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rPr>
      </w:pPr>
      <w:r>
        <w:rPr>
          <w:rFonts w:hint="default" w:ascii="仿宋_GB2312" w:hAnsi="仿宋_GB2312" w:eastAsia="仿宋_GB2312" w:cs="仿宋_GB2312"/>
          <w:kern w:val="21"/>
          <w:sz w:val="32"/>
          <w:szCs w:val="32"/>
        </w:rPr>
        <w:t>附件：农</w:t>
      </w:r>
      <w:r>
        <w:rPr>
          <w:rFonts w:hint="eastAsia" w:ascii="仿宋_GB2312" w:hAnsi="仿宋_GB2312" w:eastAsia="仿宋_GB2312" w:cs="仿宋_GB2312"/>
          <w:kern w:val="21"/>
          <w:sz w:val="32"/>
          <w:szCs w:val="32"/>
          <w:lang w:eastAsia="zh-CN"/>
        </w:rPr>
        <w:t>业</w:t>
      </w:r>
      <w:r>
        <w:rPr>
          <w:rFonts w:hint="default" w:ascii="仿宋_GB2312" w:hAnsi="仿宋_GB2312" w:eastAsia="仿宋_GB2312" w:cs="仿宋_GB2312"/>
          <w:kern w:val="21"/>
          <w:sz w:val="32"/>
          <w:szCs w:val="32"/>
        </w:rPr>
        <w:t>生产托管服务标准指引</w:t>
      </w:r>
    </w:p>
    <w:p w14:paraId="3BBA9DEB">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kern w:val="21"/>
          <w:sz w:val="32"/>
          <w:szCs w:val="32"/>
        </w:rPr>
      </w:pPr>
    </w:p>
    <w:p w14:paraId="16393711">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甲方（签字或盖章）：</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p>
    <w:p w14:paraId="12FDBDB9">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时    间 ：</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rPr>
        <w:t>年</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b/>
          <w:bCs/>
          <w:sz w:val="32"/>
          <w:szCs w:val="32"/>
        </w:rPr>
        <w:t>月</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rPr>
        <w:t>日</w:t>
      </w:r>
    </w:p>
    <w:p w14:paraId="0DDA787D">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p>
    <w:p w14:paraId="57B86050">
      <w:pPr>
        <w:pStyle w:val="4"/>
        <w:keepNext w:val="0"/>
        <w:keepLines w:val="0"/>
        <w:pageBreakBefore w:val="0"/>
        <w:kinsoku/>
        <w:overflowPunct/>
        <w:topLinePunct w:val="0"/>
        <w:autoSpaceDE/>
        <w:autoSpaceDN/>
        <w:bidi w:val="0"/>
        <w:adjustRightInd/>
        <w:snapToGrid/>
        <w:spacing w:line="560" w:lineRule="exact"/>
        <w:textAlignment w:val="auto"/>
        <w:rPr>
          <w:rFonts w:hint="eastAsia"/>
        </w:rPr>
      </w:pPr>
    </w:p>
    <w:p w14:paraId="0B6BCAD9">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b/>
          <w:bCs/>
          <w:sz w:val="32"/>
          <w:szCs w:val="32"/>
        </w:rPr>
        <w:t>乙方（签字或盖章）：</w:t>
      </w:r>
      <w:r>
        <w:rPr>
          <w:rFonts w:hint="eastAsia" w:ascii="仿宋_GB2312" w:hAnsi="仿宋_GB2312" w:eastAsia="仿宋_GB2312" w:cs="仿宋_GB2312"/>
          <w:sz w:val="32"/>
          <w:szCs w:val="32"/>
          <w:u w:val="single"/>
        </w:rPr>
        <w:t xml:space="preserve">             </w:t>
      </w:r>
    </w:p>
    <w:p w14:paraId="35CDCD09">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时    间 ：</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rPr>
        <w:t>年</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rPr>
        <w:t>月</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rPr>
        <w:t xml:space="preserve">日   </w:t>
      </w:r>
    </w:p>
    <w:p w14:paraId="5A1ADC33">
      <w:pPr>
        <w:keepNext w:val="0"/>
        <w:keepLines w:val="0"/>
        <w:pageBreakBefore w:val="0"/>
        <w:widowControl w:val="0"/>
        <w:kinsoku/>
        <w:wordWrap w:val="0"/>
        <w:overflowPunct/>
        <w:topLinePunct w:val="0"/>
        <w:autoSpaceDE/>
        <w:autoSpaceDN/>
        <w:bidi w:val="0"/>
        <w:adjustRightInd/>
        <w:snapToGrid/>
        <w:spacing w:line="600" w:lineRule="auto"/>
        <w:ind w:firstLine="643" w:firstLineChars="200"/>
        <w:textAlignment w:val="auto"/>
        <w:rPr>
          <w:rFonts w:hint="eastAsia" w:ascii="仿宋_GB2312" w:hAnsi="仿宋_GB2312" w:eastAsia="仿宋_GB2312" w:cs="仿宋_GB2312"/>
          <w:b/>
          <w:bCs/>
          <w:sz w:val="32"/>
          <w:szCs w:val="32"/>
        </w:rPr>
      </w:pPr>
    </w:p>
    <w:p w14:paraId="187F7869">
      <w:pPr>
        <w:keepNext w:val="0"/>
        <w:keepLines w:val="0"/>
        <w:pageBreakBefore w:val="0"/>
        <w:widowControl w:val="0"/>
        <w:kinsoku/>
        <w:wordWrap w:val="0"/>
        <w:overflowPunct/>
        <w:topLinePunct w:val="0"/>
        <w:autoSpaceDE/>
        <w:autoSpaceDN/>
        <w:bidi w:val="0"/>
        <w:adjustRightInd/>
        <w:snapToGrid/>
        <w:spacing w:line="600" w:lineRule="auto"/>
        <w:ind w:firstLine="643" w:firstLineChars="200"/>
        <w:textAlignment w:val="auto"/>
        <w:rPr>
          <w:rFonts w:hint="eastAsia" w:ascii="仿宋_GB2312" w:hAnsi="仿宋_GB2312" w:eastAsia="仿宋_GB2312" w:cs="仿宋_GB2312"/>
          <w:b/>
          <w:bCs/>
          <w:sz w:val="32"/>
          <w:szCs w:val="32"/>
        </w:rPr>
      </w:pPr>
    </w:p>
    <w:p w14:paraId="3A49FC72">
      <w:pPr>
        <w:keepNext w:val="0"/>
        <w:keepLines w:val="0"/>
        <w:pageBreakBefore w:val="0"/>
        <w:widowControl w:val="0"/>
        <w:kinsoku/>
        <w:wordWrap w:val="0"/>
        <w:overflowPunct/>
        <w:topLinePunct w:val="0"/>
        <w:autoSpaceDE/>
        <w:autoSpaceDN/>
        <w:bidi w:val="0"/>
        <w:adjustRightInd/>
        <w:snapToGrid/>
        <w:spacing w:line="600" w:lineRule="auto"/>
        <w:ind w:firstLine="643" w:firstLineChars="200"/>
        <w:textAlignment w:val="auto"/>
        <w:rPr>
          <w:rFonts w:hint="eastAsia" w:ascii="仿宋_GB2312" w:hAnsi="仿宋_GB2312" w:eastAsia="仿宋_GB2312" w:cs="仿宋_GB2312"/>
          <w:b/>
          <w:bCs/>
          <w:sz w:val="32"/>
          <w:szCs w:val="32"/>
        </w:rPr>
        <w:sectPr>
          <w:headerReference r:id="rId4" w:type="first"/>
          <w:footerReference r:id="rId6" w:type="first"/>
          <w:headerReference r:id="rId3" w:type="default"/>
          <w:footerReference r:id="rId5" w:type="default"/>
          <w:pgSz w:w="11906" w:h="16838"/>
          <w:pgMar w:top="1871" w:right="1531" w:bottom="1984" w:left="1531" w:header="567" w:footer="397" w:gutter="0"/>
          <w:pgNumType w:fmt="decimal" w:start="1"/>
          <w:cols w:space="0" w:num="1"/>
          <w:rtlGutter w:val="0"/>
          <w:docGrid w:type="lines" w:linePitch="312" w:charSpace="0"/>
        </w:sectPr>
      </w:pPr>
    </w:p>
    <w:p w14:paraId="5E6C768A">
      <w:pPr>
        <w:keepNext w:val="0"/>
        <w:keepLines w:val="0"/>
        <w:pageBreakBefore w:val="0"/>
        <w:widowControl w:val="0"/>
        <w:kinsoku/>
        <w:wordWrap w:val="0"/>
        <w:overflowPunct/>
        <w:topLinePunct w:val="0"/>
        <w:autoSpaceDE/>
        <w:autoSpaceDN/>
        <w:bidi w:val="0"/>
        <w:adjustRightInd/>
        <w:snapToGrid/>
        <w:spacing w:line="600" w:lineRule="auto"/>
        <w:ind w:firstLine="640" w:firstLineChars="200"/>
        <w:jc w:val="left"/>
        <w:textAlignment w:val="auto"/>
        <w:rPr>
          <w:rFonts w:hint="eastAsia" w:ascii="仿宋_GB2312" w:hAnsi="仿宋_GB2312" w:eastAsia="仿宋_GB2312" w:cs="仿宋_GB2312"/>
          <w:b/>
          <w:bCs/>
          <w:sz w:val="32"/>
          <w:szCs w:val="32"/>
        </w:rPr>
      </w:pPr>
      <w:r>
        <w:rPr>
          <w:rFonts w:hint="default" w:ascii="仿宋_GB2312" w:hAnsi="仿宋_GB2312" w:eastAsia="仿宋_GB2312" w:cs="仿宋_GB2312"/>
          <w:kern w:val="21"/>
          <w:sz w:val="32"/>
          <w:szCs w:val="32"/>
        </w:rPr>
        <w:t>附件</w:t>
      </w:r>
    </w:p>
    <w:tbl>
      <w:tblPr>
        <w:tblStyle w:val="10"/>
        <w:tblW w:w="14270" w:type="dxa"/>
        <w:jc w:val="center"/>
        <w:shd w:val="clear" w:color="auto" w:fill="auto"/>
        <w:tblLayout w:type="fixed"/>
        <w:tblCellMar>
          <w:top w:w="0" w:type="dxa"/>
          <w:left w:w="0" w:type="dxa"/>
          <w:bottom w:w="0" w:type="dxa"/>
          <w:right w:w="0" w:type="dxa"/>
        </w:tblCellMar>
      </w:tblPr>
      <w:tblGrid>
        <w:gridCol w:w="1480"/>
        <w:gridCol w:w="1950"/>
        <w:gridCol w:w="6510"/>
        <w:gridCol w:w="4330"/>
      </w:tblGrid>
      <w:tr w14:paraId="45E014E7">
        <w:tblPrEx>
          <w:tblCellMar>
            <w:top w:w="0" w:type="dxa"/>
            <w:left w:w="0" w:type="dxa"/>
            <w:bottom w:w="0" w:type="dxa"/>
            <w:right w:w="0" w:type="dxa"/>
          </w:tblCellMar>
        </w:tblPrEx>
        <w:trPr>
          <w:trHeight w:val="23" w:hRule="atLeast"/>
          <w:tblHeader/>
          <w:jc w:val="center"/>
        </w:trPr>
        <w:tc>
          <w:tcPr>
            <w:tcW w:w="14270"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2FF03219">
            <w:pPr>
              <w:keepNext w:val="0"/>
              <w:keepLines w:val="0"/>
              <w:widowControl/>
              <w:suppressLineNumbers w:val="0"/>
              <w:jc w:val="center"/>
              <w:textAlignment w:val="center"/>
              <w:rPr>
                <w:rFonts w:hint="eastAsia" w:ascii="楷体_GB2312" w:hAnsi="楷体_GB2312" w:eastAsia="楷体_GB2312" w:cs="楷体_GB2312"/>
                <w:b/>
                <w:i w:val="0"/>
                <w:color w:val="000000"/>
                <w:sz w:val="44"/>
                <w:szCs w:val="44"/>
                <w:u w:val="none"/>
              </w:rPr>
            </w:pPr>
            <w:r>
              <w:rPr>
                <w:rFonts w:hint="eastAsia" w:ascii="楷体_GB2312" w:hAnsi="楷体_GB2312" w:eastAsia="楷体_GB2312" w:cs="楷体_GB2312"/>
                <w:b/>
                <w:i w:val="0"/>
                <w:color w:val="000000"/>
                <w:kern w:val="0"/>
                <w:sz w:val="44"/>
                <w:szCs w:val="44"/>
                <w:u w:val="none"/>
                <w:lang w:val="en-US" w:eastAsia="zh-CN" w:bidi="ar"/>
              </w:rPr>
              <w:t>轮台县农业生产托管服务标准指引（小麦）</w:t>
            </w:r>
          </w:p>
        </w:tc>
      </w:tr>
      <w:tr w14:paraId="454E0C83">
        <w:tblPrEx>
          <w:tblCellMar>
            <w:top w:w="0" w:type="dxa"/>
            <w:left w:w="0" w:type="dxa"/>
            <w:bottom w:w="0" w:type="dxa"/>
            <w:right w:w="0" w:type="dxa"/>
          </w:tblCellMar>
        </w:tblPrEx>
        <w:trPr>
          <w:trHeight w:val="304" w:hRule="atLeast"/>
          <w:tblHeader/>
          <w:jc w:val="center"/>
        </w:trPr>
        <w:tc>
          <w:tcPr>
            <w:tcW w:w="148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72EE0">
            <w:pPr>
              <w:keepNext w:val="0"/>
              <w:keepLines w:val="0"/>
              <w:widowControl/>
              <w:suppressLineNumbers w:val="0"/>
              <w:jc w:val="center"/>
              <w:textAlignment w:val="center"/>
              <w:rPr>
                <w:rFonts w:hint="eastAsia" w:ascii="黑体" w:hAnsi="黑体" w:eastAsia="黑体" w:cs="黑体"/>
                <w:b/>
                <w:bCs w:val="0"/>
                <w:i w:val="0"/>
                <w:color w:val="000000"/>
                <w:sz w:val="22"/>
                <w:szCs w:val="22"/>
                <w:u w:val="none"/>
              </w:rPr>
            </w:pPr>
            <w:r>
              <w:rPr>
                <w:rFonts w:hint="eastAsia" w:ascii="黑体" w:hAnsi="黑体" w:eastAsia="黑体" w:cs="黑体"/>
                <w:b/>
                <w:bCs w:val="0"/>
                <w:i w:val="0"/>
                <w:color w:val="000000"/>
                <w:kern w:val="0"/>
                <w:sz w:val="22"/>
                <w:szCs w:val="22"/>
                <w:u w:val="none"/>
                <w:lang w:val="en-US" w:eastAsia="zh-CN" w:bidi="ar"/>
              </w:rPr>
              <w:t>托管服务事项</w:t>
            </w:r>
          </w:p>
        </w:tc>
        <w:tc>
          <w:tcPr>
            <w:tcW w:w="195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45C29">
            <w:pPr>
              <w:keepNext w:val="0"/>
              <w:keepLines w:val="0"/>
              <w:widowControl/>
              <w:suppressLineNumbers w:val="0"/>
              <w:jc w:val="center"/>
              <w:textAlignment w:val="center"/>
              <w:rPr>
                <w:rFonts w:hint="eastAsia" w:ascii="黑体" w:hAnsi="黑体" w:eastAsia="黑体" w:cs="黑体"/>
                <w:b/>
                <w:bCs w:val="0"/>
                <w:i w:val="0"/>
                <w:color w:val="000000"/>
                <w:sz w:val="22"/>
                <w:szCs w:val="22"/>
                <w:u w:val="none"/>
              </w:rPr>
            </w:pPr>
            <w:r>
              <w:rPr>
                <w:rFonts w:hint="eastAsia" w:ascii="黑体" w:hAnsi="黑体" w:eastAsia="黑体" w:cs="黑体"/>
                <w:b/>
                <w:bCs w:val="0"/>
                <w:i w:val="0"/>
                <w:color w:val="000000"/>
                <w:kern w:val="0"/>
                <w:sz w:val="22"/>
                <w:szCs w:val="22"/>
                <w:u w:val="none"/>
                <w:lang w:val="en-US" w:eastAsia="zh-CN" w:bidi="ar"/>
              </w:rPr>
              <w:t>具体内容</w:t>
            </w:r>
          </w:p>
        </w:tc>
        <w:tc>
          <w:tcPr>
            <w:tcW w:w="651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F451E">
            <w:pPr>
              <w:keepNext w:val="0"/>
              <w:keepLines w:val="0"/>
              <w:widowControl/>
              <w:suppressLineNumbers w:val="0"/>
              <w:jc w:val="center"/>
              <w:textAlignment w:val="center"/>
              <w:rPr>
                <w:rFonts w:hint="eastAsia" w:ascii="黑体" w:hAnsi="黑体" w:eastAsia="黑体" w:cs="黑体"/>
                <w:b/>
                <w:bCs w:val="0"/>
                <w:i w:val="0"/>
                <w:color w:val="000000"/>
                <w:sz w:val="22"/>
                <w:szCs w:val="22"/>
                <w:u w:val="none"/>
              </w:rPr>
            </w:pPr>
            <w:r>
              <w:rPr>
                <w:rFonts w:hint="eastAsia" w:ascii="黑体" w:hAnsi="黑体" w:eastAsia="黑体" w:cs="黑体"/>
                <w:b/>
                <w:bCs w:val="0"/>
                <w:i w:val="0"/>
                <w:color w:val="000000"/>
                <w:kern w:val="0"/>
                <w:sz w:val="22"/>
                <w:szCs w:val="22"/>
                <w:u w:val="none"/>
                <w:lang w:val="en-US" w:eastAsia="zh-CN" w:bidi="ar"/>
              </w:rPr>
              <w:t>约定标准（由甲乙双方协商约定）</w:t>
            </w:r>
          </w:p>
        </w:tc>
        <w:tc>
          <w:tcPr>
            <w:tcW w:w="433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E3614">
            <w:pPr>
              <w:keepNext w:val="0"/>
              <w:keepLines w:val="0"/>
              <w:widowControl/>
              <w:suppressLineNumbers w:val="0"/>
              <w:jc w:val="center"/>
              <w:textAlignment w:val="center"/>
              <w:rPr>
                <w:rFonts w:hint="eastAsia" w:ascii="黑体" w:hAnsi="黑体" w:eastAsia="黑体" w:cs="黑体"/>
                <w:b/>
                <w:bCs w:val="0"/>
                <w:i w:val="0"/>
                <w:color w:val="000000"/>
                <w:sz w:val="22"/>
                <w:szCs w:val="22"/>
                <w:u w:val="none"/>
              </w:rPr>
            </w:pPr>
            <w:r>
              <w:rPr>
                <w:rFonts w:hint="eastAsia" w:ascii="黑体" w:hAnsi="黑体" w:eastAsia="黑体" w:cs="黑体"/>
                <w:b/>
                <w:bCs w:val="0"/>
                <w:i w:val="0"/>
                <w:color w:val="000000"/>
                <w:kern w:val="0"/>
                <w:sz w:val="22"/>
                <w:szCs w:val="22"/>
                <w:u w:val="none"/>
                <w:lang w:val="en-US" w:eastAsia="zh-CN" w:bidi="ar"/>
              </w:rPr>
              <w:t>备注</w:t>
            </w:r>
          </w:p>
        </w:tc>
      </w:tr>
      <w:tr w14:paraId="7BEACDC8">
        <w:tblPrEx>
          <w:tblCellMar>
            <w:top w:w="0" w:type="dxa"/>
            <w:left w:w="0" w:type="dxa"/>
            <w:bottom w:w="0" w:type="dxa"/>
            <w:right w:w="0" w:type="dxa"/>
          </w:tblCellMar>
        </w:tblPrEx>
        <w:trPr>
          <w:trHeight w:val="613" w:hRule="atLeast"/>
          <w:tblHeader/>
          <w:jc w:val="center"/>
        </w:trPr>
        <w:tc>
          <w:tcPr>
            <w:tcW w:w="148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94AB923">
            <w:pPr>
              <w:jc w:val="center"/>
              <w:rPr>
                <w:rFonts w:hint="eastAsia" w:ascii="楷体_GB2312" w:hAnsi="楷体_GB2312" w:eastAsia="楷体_GB2312" w:cs="楷体_GB2312"/>
                <w:b/>
                <w:i w:val="0"/>
                <w:color w:val="000000"/>
                <w:sz w:val="22"/>
                <w:szCs w:val="22"/>
                <w:u w:val="none"/>
              </w:rPr>
            </w:pPr>
            <w:r>
              <w:rPr>
                <w:rFonts w:hint="eastAsia" w:ascii="楷体_GB2312" w:hAnsi="楷体_GB2312" w:eastAsia="楷体_GB2312" w:cs="楷体_GB2312"/>
                <w:b/>
                <w:i w:val="0"/>
                <w:color w:val="000000"/>
                <w:kern w:val="0"/>
                <w:sz w:val="22"/>
                <w:szCs w:val="22"/>
                <w:u w:val="none"/>
                <w:lang w:val="en-US" w:eastAsia="zh-CN" w:bidi="ar"/>
              </w:rPr>
              <w:t>耕整地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19B31">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作业模式</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9F0A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_GB2312" w:hAnsi="楷体_GB2312" w:eastAsia="楷体_GB2312" w:cs="楷体_GB2312"/>
                <w:i w:val="0"/>
                <w:color w:val="000000"/>
                <w:sz w:val="22"/>
                <w:szCs w:val="22"/>
                <w:u w:val="none"/>
              </w:rPr>
            </w:pPr>
            <w:r>
              <w:rPr>
                <w:rFonts w:hint="eastAsia" w:ascii="仿宋_GB2312" w:hAnsi="仿宋_GB2312" w:eastAsia="仿宋_GB2312" w:cs="仿宋_GB2312"/>
                <w:color w:val="000000"/>
                <w:kern w:val="0"/>
                <w:sz w:val="22"/>
                <w:szCs w:val="22"/>
                <w:lang w:val="en-US" w:eastAsia="zh-CN" w:bidi="ar"/>
              </w:rPr>
              <w:t>机耕、机耙</w:t>
            </w:r>
          </w:p>
        </w:tc>
        <w:tc>
          <w:tcPr>
            <w:tcW w:w="4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135D0">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根据当地耕作制度和生产实际，列出主要耕整地模式，如旋耕、深翻、深耕、免耕等方式。</w:t>
            </w:r>
          </w:p>
        </w:tc>
      </w:tr>
      <w:tr w14:paraId="748FAF0A">
        <w:tblPrEx>
          <w:tblCellMar>
            <w:top w:w="0" w:type="dxa"/>
            <w:left w:w="0" w:type="dxa"/>
            <w:bottom w:w="0" w:type="dxa"/>
            <w:right w:w="0" w:type="dxa"/>
          </w:tblCellMar>
        </w:tblPrEx>
        <w:trPr>
          <w:trHeight w:val="90" w:hRule="atLeast"/>
          <w:tblHeader/>
          <w:jc w:val="center"/>
        </w:trPr>
        <w:tc>
          <w:tcPr>
            <w:tcW w:w="14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3BC132A">
            <w:pPr>
              <w:jc w:val="center"/>
              <w:rPr>
                <w:rFonts w:hint="eastAsia" w:ascii="楷体_GB2312" w:hAnsi="楷体_GB2312" w:eastAsia="楷体_GB2312" w:cs="楷体_GB2312"/>
                <w:b/>
                <w:i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22C58">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作业时间范围</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C9AF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_GB2312" w:hAnsi="楷体_GB2312" w:eastAsia="楷体_GB2312" w:cs="楷体_GB2312"/>
                <w:i w:val="0"/>
                <w:color w:val="000000"/>
                <w:sz w:val="22"/>
                <w:szCs w:val="22"/>
                <w:u w:val="none"/>
              </w:rPr>
            </w:pPr>
            <w:r>
              <w:rPr>
                <w:rFonts w:hint="eastAsia" w:ascii="仿宋_GB2312" w:hAnsi="仿宋_GB2312" w:eastAsia="仿宋_GB2312" w:cs="仿宋_GB2312"/>
                <w:color w:val="000000"/>
                <w:kern w:val="0"/>
                <w:sz w:val="22"/>
                <w:szCs w:val="22"/>
                <w:lang w:val="en-US" w:eastAsia="zh-CN" w:bidi="ar"/>
              </w:rPr>
              <w:t>春麦：2月20日至3月10日，冬麦：9月10日至10月10日</w:t>
            </w:r>
          </w:p>
        </w:tc>
        <w:tc>
          <w:tcPr>
            <w:tcW w:w="4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13D92">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根据农时，列出耕整地作业起止时间范围及进度安排。</w:t>
            </w:r>
          </w:p>
        </w:tc>
      </w:tr>
      <w:tr w14:paraId="6BC1ED66">
        <w:tblPrEx>
          <w:tblCellMar>
            <w:top w:w="0" w:type="dxa"/>
            <w:left w:w="0" w:type="dxa"/>
            <w:bottom w:w="0" w:type="dxa"/>
            <w:right w:w="0" w:type="dxa"/>
          </w:tblCellMar>
        </w:tblPrEx>
        <w:trPr>
          <w:trHeight w:val="90" w:hRule="atLeast"/>
          <w:tblHeader/>
          <w:jc w:val="center"/>
        </w:trPr>
        <w:tc>
          <w:tcPr>
            <w:tcW w:w="14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832D48E">
            <w:pPr>
              <w:jc w:val="center"/>
              <w:rPr>
                <w:rFonts w:hint="eastAsia" w:ascii="楷体_GB2312" w:hAnsi="楷体_GB2312" w:eastAsia="楷体_GB2312" w:cs="楷体_GB2312"/>
                <w:b/>
                <w:i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0811F">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作业技术要求</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F0A12">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280" w:lineRule="exact"/>
              <w:ind w:left="0" w:leftChars="0" w:right="0" w:firstLine="0" w:firstLineChars="0"/>
              <w:jc w:val="left"/>
              <w:textAlignment w:val="auto"/>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color w:val="000000"/>
                <w:kern w:val="0"/>
                <w:sz w:val="22"/>
                <w:szCs w:val="22"/>
                <w:lang w:val="en-US" w:eastAsia="zh-CN" w:bidi="ar"/>
              </w:rPr>
              <w:t>适墒整地，犁地深度25cm以上，选用大马力轮式拖拉机配带联合整地机或驱动耙及时精细耙耱整地成待播状态，保证播种质量。做到土地平整，土地松碎，上松下实，墒度适合</w:t>
            </w:r>
          </w:p>
        </w:tc>
        <w:tc>
          <w:tcPr>
            <w:tcW w:w="4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E485A">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作业要求列出所采用机械的作业深度、作业幅宽、作业速度等技术指标。</w:t>
            </w:r>
          </w:p>
        </w:tc>
      </w:tr>
      <w:tr w14:paraId="3A4D8308">
        <w:tblPrEx>
          <w:shd w:val="clear" w:color="auto" w:fill="auto"/>
          <w:tblCellMar>
            <w:top w:w="0" w:type="dxa"/>
            <w:left w:w="0" w:type="dxa"/>
            <w:bottom w:w="0" w:type="dxa"/>
            <w:right w:w="0" w:type="dxa"/>
          </w:tblCellMar>
        </w:tblPrEx>
        <w:trPr>
          <w:trHeight w:val="1850" w:hRule="atLeast"/>
          <w:tblHeader/>
          <w:jc w:val="center"/>
        </w:trPr>
        <w:tc>
          <w:tcPr>
            <w:tcW w:w="14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F143F0E">
            <w:pPr>
              <w:jc w:val="center"/>
              <w:rPr>
                <w:rFonts w:hint="eastAsia" w:ascii="楷体_GB2312" w:hAnsi="楷体_GB2312" w:eastAsia="楷体_GB2312" w:cs="楷体_GB2312"/>
                <w:b/>
                <w:i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DA3B9">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作业质量</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2FA92">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80" w:lineRule="exact"/>
              <w:ind w:right="0" w:rightChars="0"/>
              <w:jc w:val="left"/>
              <w:textAlignment w:val="auto"/>
              <w:rPr>
                <w:rFonts w:hint="eastAsia" w:ascii="楷体_GB2312" w:hAnsi="楷体_GB2312" w:eastAsia="楷体_GB2312" w:cs="楷体_GB2312"/>
                <w:color w:val="000000"/>
                <w:kern w:val="0"/>
                <w:sz w:val="22"/>
                <w:szCs w:val="22"/>
                <w:lang w:val="en-US" w:eastAsia="zh-CN" w:bidi="ar"/>
              </w:rPr>
            </w:pPr>
            <w:r>
              <w:rPr>
                <w:rFonts w:hint="eastAsia" w:ascii="楷体_GB2312" w:hAnsi="楷体_GB2312" w:eastAsia="楷体_GB2312" w:cs="楷体_GB2312"/>
                <w:color w:val="000000"/>
                <w:kern w:val="0"/>
                <w:sz w:val="22"/>
                <w:szCs w:val="22"/>
                <w:lang w:val="en-US" w:eastAsia="zh-CN" w:bidi="ar"/>
              </w:rPr>
              <w:t>1.不重耕、不漏耕，到头到边，机耕后地表平整，土壤松碎，无沟、无垄，地头地尾整齐；</w:t>
            </w:r>
          </w:p>
          <w:p w14:paraId="3D2AD22F">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80" w:lineRule="exact"/>
              <w:ind w:right="0" w:rightChars="0"/>
              <w:jc w:val="left"/>
              <w:textAlignment w:val="auto"/>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color w:val="000000"/>
                <w:kern w:val="0"/>
                <w:sz w:val="22"/>
                <w:szCs w:val="22"/>
                <w:lang w:val="en-US" w:eastAsia="zh-CN" w:bidi="ar"/>
              </w:rPr>
              <w:t>2.耙到头、耙到边、不漏耙，耙完地后要圈边一圈，地头用犁翻后耙碎耙平。耙地后的土壤表层没有垄起的土堆，土条和明显的凹坑；作业后表层土壤疏松，保持适宜的紧密度，土块要耙碎；地表干净，无作物残茬，杂草和地膜。</w:t>
            </w:r>
          </w:p>
        </w:tc>
        <w:tc>
          <w:tcPr>
            <w:tcW w:w="4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9D817">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说明各个作业环节可达到的作业效果。</w:t>
            </w:r>
          </w:p>
        </w:tc>
      </w:tr>
      <w:tr w14:paraId="032AEC2D">
        <w:tblPrEx>
          <w:shd w:val="clear" w:color="auto" w:fill="auto"/>
          <w:tblCellMar>
            <w:top w:w="0" w:type="dxa"/>
            <w:left w:w="0" w:type="dxa"/>
            <w:bottom w:w="0" w:type="dxa"/>
            <w:right w:w="0" w:type="dxa"/>
          </w:tblCellMar>
        </w:tblPrEx>
        <w:trPr>
          <w:trHeight w:val="1033" w:hRule="atLeast"/>
          <w:tblHeader/>
          <w:jc w:val="center"/>
        </w:trPr>
        <w:tc>
          <w:tcPr>
            <w:tcW w:w="148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407490D0">
            <w:pPr>
              <w:jc w:val="center"/>
              <w:rPr>
                <w:rFonts w:hint="eastAsia" w:ascii="楷体_GB2312" w:hAnsi="楷体_GB2312" w:eastAsia="楷体_GB2312" w:cs="楷体_GB2312"/>
                <w:b/>
                <w:i w:val="0"/>
                <w:color w:val="000000"/>
                <w:kern w:val="0"/>
                <w:sz w:val="22"/>
                <w:szCs w:val="22"/>
                <w:u w:val="none"/>
                <w:lang w:val="en-US" w:eastAsia="zh-CN" w:bidi="ar"/>
              </w:rPr>
            </w:pPr>
            <w:r>
              <w:rPr>
                <w:rFonts w:hint="eastAsia" w:ascii="楷体_GB2312" w:hAnsi="楷体_GB2312" w:eastAsia="楷体_GB2312" w:cs="楷体_GB2312"/>
                <w:b/>
                <w:i w:val="0"/>
                <w:color w:val="000000"/>
                <w:kern w:val="0"/>
                <w:sz w:val="22"/>
                <w:szCs w:val="22"/>
                <w:u w:val="none"/>
                <w:lang w:val="en-US" w:eastAsia="zh-CN" w:bidi="ar"/>
              </w:rPr>
              <w:t>播种</w:t>
            </w:r>
          </w:p>
          <w:p w14:paraId="115E8B03">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0018C822">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播种方式</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1C5C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_GB2312" w:hAnsi="楷体_GB2312" w:eastAsia="楷体_GB2312" w:cs="楷体_GB2312"/>
                <w:i w:val="0"/>
                <w:color w:val="000000"/>
                <w:sz w:val="22"/>
                <w:szCs w:val="22"/>
                <w:u w:val="none"/>
              </w:rPr>
            </w:pPr>
            <w:r>
              <w:rPr>
                <w:rFonts w:hint="eastAsia" w:ascii="仿宋_GB2312" w:hAnsi="仿宋_GB2312" w:eastAsia="仿宋_GB2312" w:cs="仿宋_GB2312"/>
                <w:color w:val="000000"/>
                <w:kern w:val="0"/>
                <w:sz w:val="22"/>
                <w:szCs w:val="22"/>
                <w:lang w:val="en-US" w:eastAsia="zh-CN" w:bidi="ar"/>
              </w:rPr>
              <w:t>常规播种</w:t>
            </w:r>
          </w:p>
        </w:tc>
        <w:tc>
          <w:tcPr>
            <w:tcW w:w="4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91C74">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按种子品类、耕作制度、地块面积、土壤特性等综合选定不同种植方式。如免耕播种、常规播种、移栽等。</w:t>
            </w:r>
          </w:p>
        </w:tc>
      </w:tr>
      <w:tr w14:paraId="18594583">
        <w:tblPrEx>
          <w:tblCellMar>
            <w:top w:w="0" w:type="dxa"/>
            <w:left w:w="0" w:type="dxa"/>
            <w:bottom w:w="0" w:type="dxa"/>
            <w:right w:w="0" w:type="dxa"/>
          </w:tblCellMar>
        </w:tblPrEx>
        <w:trPr>
          <w:trHeight w:val="789" w:hRule="atLeast"/>
          <w:tblHeader/>
          <w:jc w:val="center"/>
        </w:trPr>
        <w:tc>
          <w:tcPr>
            <w:tcW w:w="148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44010A07">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72866B7">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播种时间范围</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24F6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_GB2312" w:hAnsi="楷体_GB2312" w:eastAsia="楷体_GB2312" w:cs="楷体_GB2312"/>
                <w:i w:val="0"/>
                <w:color w:val="000000"/>
                <w:sz w:val="22"/>
                <w:szCs w:val="22"/>
                <w:u w:val="none"/>
              </w:rPr>
            </w:pPr>
            <w:r>
              <w:rPr>
                <w:rFonts w:hint="eastAsia" w:ascii="仿宋_GB2312" w:hAnsi="仿宋_GB2312" w:eastAsia="仿宋_GB2312" w:cs="仿宋_GB2312"/>
                <w:color w:val="000000"/>
                <w:kern w:val="0"/>
                <w:sz w:val="22"/>
                <w:szCs w:val="22"/>
                <w:lang w:val="en-US" w:eastAsia="zh-CN" w:bidi="ar"/>
              </w:rPr>
              <w:t>春麦：2月20日至3月10日；冬麦：10月1日至10月15日</w:t>
            </w:r>
          </w:p>
        </w:tc>
        <w:tc>
          <w:tcPr>
            <w:tcW w:w="4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4FBB0">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根据农时，注明作业起止时间范围和进度安排。</w:t>
            </w:r>
          </w:p>
        </w:tc>
      </w:tr>
      <w:tr w14:paraId="75AF150C">
        <w:tblPrEx>
          <w:tblCellMar>
            <w:top w:w="0" w:type="dxa"/>
            <w:left w:w="0" w:type="dxa"/>
            <w:bottom w:w="0" w:type="dxa"/>
            <w:right w:w="0" w:type="dxa"/>
          </w:tblCellMar>
        </w:tblPrEx>
        <w:trPr>
          <w:trHeight w:val="1860" w:hRule="atLeast"/>
          <w:tblHeader/>
          <w:jc w:val="center"/>
        </w:trPr>
        <w:tc>
          <w:tcPr>
            <w:tcW w:w="148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E21E030">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E054B17">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作业要求</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65EC4">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left"/>
              <w:textAlignment w:val="auto"/>
              <w:rPr>
                <w:rFonts w:hint="eastAsia" w:ascii="楷体_GB2312" w:hAnsi="楷体_GB2312" w:eastAsia="楷体_GB2312" w:cs="楷体_GB2312"/>
                <w:i w:val="0"/>
                <w:color w:val="000000"/>
                <w:sz w:val="22"/>
                <w:szCs w:val="22"/>
                <w:u w:val="none"/>
              </w:rPr>
            </w:pPr>
            <w:r>
              <w:rPr>
                <w:rFonts w:hint="eastAsia" w:ascii="仿宋_GB2312" w:hAnsi="仿宋_GB2312" w:eastAsia="仿宋_GB2312" w:cs="仿宋_GB2312"/>
                <w:kern w:val="2"/>
                <w:sz w:val="22"/>
                <w:szCs w:val="22"/>
                <w:lang w:val="en-US" w:eastAsia="zh-CN" w:bidi="ar-SA"/>
              </w:rPr>
              <w:t>采用15cm等行距条播播种机，配套动力采用75马力以上的大马力拖拉机，内配置北斗卫星导航系统，播行直，接行精准，在一个播幅内行距偏差不超过1cm，播幅间的交接行偏差不超过3cm。播种深度3～4cm。播种后根据墒情适当镇压。</w:t>
            </w:r>
          </w:p>
        </w:tc>
        <w:tc>
          <w:tcPr>
            <w:tcW w:w="4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E14DB">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列出所采用机械的作业幅宽、速度、深度、行距、株距，以及种、肥、药等农资使用量。非直播水田插秧在本环节说明。播种同时采用机械施底肥的，列出机械作业方式（如侧施肥）、幅宽、速度、深度、种肥间距等特性并注明用肥品类品牌、施用方法和施肥量。</w:t>
            </w:r>
          </w:p>
        </w:tc>
      </w:tr>
      <w:tr w14:paraId="2A468802">
        <w:tblPrEx>
          <w:tblCellMar>
            <w:top w:w="0" w:type="dxa"/>
            <w:left w:w="0" w:type="dxa"/>
            <w:bottom w:w="0" w:type="dxa"/>
            <w:right w:w="0" w:type="dxa"/>
          </w:tblCellMar>
        </w:tblPrEx>
        <w:trPr>
          <w:trHeight w:val="934" w:hRule="atLeast"/>
          <w:tblHeader/>
          <w:jc w:val="center"/>
        </w:trPr>
        <w:tc>
          <w:tcPr>
            <w:tcW w:w="1480"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AE237C">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7172F039">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作业</w:t>
            </w:r>
            <w:r>
              <w:rPr>
                <w:rFonts w:hint="eastAsia" w:ascii="楷体_GB2312" w:hAnsi="楷体_GB2312" w:eastAsia="楷体_GB2312" w:cs="楷体_GB2312"/>
                <w:i w:val="0"/>
                <w:color w:val="000000"/>
                <w:sz w:val="22"/>
                <w:szCs w:val="22"/>
                <w:u w:val="none"/>
                <w:lang w:val="en-US" w:eastAsia="zh-CN"/>
              </w:rPr>
              <w:t>效果</w:t>
            </w:r>
          </w:p>
        </w:tc>
        <w:tc>
          <w:tcPr>
            <w:tcW w:w="651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A90609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_GB2312" w:hAnsi="楷体_GB2312" w:eastAsia="楷体_GB2312" w:cs="楷体_GB2312"/>
                <w:i w:val="0"/>
                <w:color w:val="000000"/>
                <w:sz w:val="22"/>
                <w:szCs w:val="22"/>
                <w:u w:val="none"/>
              </w:rPr>
            </w:pPr>
            <w:r>
              <w:rPr>
                <w:rFonts w:hint="eastAsia" w:ascii="仿宋_GB2312" w:hAnsi="仿宋_GB2312" w:eastAsia="仿宋_GB2312" w:cs="仿宋_GB2312"/>
                <w:b w:val="0"/>
                <w:bCs/>
                <w:color w:val="000000"/>
                <w:kern w:val="0"/>
                <w:sz w:val="22"/>
                <w:szCs w:val="22"/>
                <w:lang w:val="en-US" w:eastAsia="zh-CN" w:bidi="ar"/>
              </w:rPr>
              <w:t>播行播距一致，播行直，播种株距均匀，密植度合格，下种量均匀，播种下种深度一致达标，播到边到角，地头整齐，不重播、不漏播；施肥量精确，覆土严实，镇压确实，保证没有浮籽。种子损伤率要小。</w:t>
            </w:r>
          </w:p>
        </w:tc>
        <w:tc>
          <w:tcPr>
            <w:tcW w:w="433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18BB1B6">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说明可达到的作业效果。</w:t>
            </w:r>
          </w:p>
        </w:tc>
      </w:tr>
      <w:tr w14:paraId="0D10349D">
        <w:tblPrEx>
          <w:tblCellMar>
            <w:top w:w="0" w:type="dxa"/>
            <w:left w:w="0" w:type="dxa"/>
            <w:bottom w:w="0" w:type="dxa"/>
            <w:right w:w="0" w:type="dxa"/>
          </w:tblCellMar>
        </w:tblPrEx>
        <w:trPr>
          <w:trHeight w:val="2630" w:hRule="atLeast"/>
          <w:tblHeader/>
          <w:jc w:val="center"/>
        </w:trPr>
        <w:tc>
          <w:tcPr>
            <w:tcW w:w="1480" w:type="dxa"/>
            <w:vMerge w:val="restart"/>
            <w:tcBorders>
              <w:top w:val="single" w:color="auto" w:sz="4" w:space="0"/>
              <w:left w:val="single" w:color="auto" w:sz="4" w:space="0"/>
              <w:right w:val="single" w:color="000000" w:sz="4" w:space="0"/>
            </w:tcBorders>
            <w:shd w:val="clear" w:color="auto" w:fill="auto"/>
            <w:tcMar>
              <w:top w:w="15" w:type="dxa"/>
              <w:left w:w="15" w:type="dxa"/>
              <w:right w:w="15" w:type="dxa"/>
            </w:tcMar>
            <w:vAlign w:val="center"/>
          </w:tcPr>
          <w:p w14:paraId="22138547">
            <w:pPr>
              <w:jc w:val="center"/>
              <w:rPr>
                <w:rFonts w:hint="eastAsia" w:ascii="楷体_GB2312" w:hAnsi="楷体_GB2312" w:eastAsia="楷体_GB2312" w:cs="楷体_GB2312"/>
                <w:b/>
                <w:i w:val="0"/>
                <w:color w:val="000000"/>
                <w:kern w:val="0"/>
                <w:sz w:val="22"/>
                <w:szCs w:val="22"/>
                <w:u w:val="none"/>
                <w:lang w:val="en-US" w:eastAsia="zh-CN" w:bidi="ar"/>
              </w:rPr>
            </w:pPr>
            <w:r>
              <w:rPr>
                <w:rFonts w:hint="eastAsia" w:ascii="楷体_GB2312" w:hAnsi="楷体_GB2312" w:eastAsia="楷体_GB2312" w:cs="楷体_GB2312"/>
                <w:b/>
                <w:i w:val="0"/>
                <w:color w:val="000000"/>
                <w:kern w:val="0"/>
                <w:sz w:val="22"/>
                <w:szCs w:val="22"/>
                <w:u w:val="none"/>
                <w:lang w:val="en-US" w:eastAsia="zh-CN" w:bidi="ar"/>
              </w:rPr>
              <w:t>植保</w:t>
            </w:r>
          </w:p>
        </w:tc>
        <w:tc>
          <w:tcPr>
            <w:tcW w:w="19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FFF6BF6">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植保方案</w:t>
            </w:r>
          </w:p>
        </w:tc>
        <w:tc>
          <w:tcPr>
            <w:tcW w:w="651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BA646AA">
            <w:pPr>
              <w:jc w:val="both"/>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小麦病虫害主要有小麦锈病、白粉病、蚜虫、棉铃虫等，零星发生根腐病。以农业防治、物理防治、生物防治为主，化学防治为辅，选用低毒低残留的生物农药，保护利用天敌。</w:t>
            </w:r>
          </w:p>
          <w:p w14:paraId="2D5709C5">
            <w:pPr>
              <w:jc w:val="both"/>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锈病：发病初期（5月初至5月底），选用选用25%丙环唑10mL/亩+6%嘧菌脂10mL/亩或43%戊唑醇（戊唑醇）10mL/亩+8%嘧菌脂10mL/亩，兑水30kg喷雾防治。连喷2次，间隔7～10天。</w:t>
            </w:r>
          </w:p>
          <w:p w14:paraId="47809775">
            <w:pPr>
              <w:jc w:val="both"/>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白粉病：喷施15％三唑酮可湿性粉剂60～100g/亩＋50％多菌灵可湿性粉剂100g/亩，间隔7～10天，连喷2次。</w:t>
            </w:r>
          </w:p>
          <w:p w14:paraId="1BD3C10B">
            <w:pPr>
              <w:jc w:val="both"/>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根腐病：可用15％三唑酮可湿性粉剂60～100g/亩＋50％多菌灵可湿性粉剂150g/亩喷雾，均匀喷施2次。</w:t>
            </w:r>
          </w:p>
          <w:p w14:paraId="1709FB9C">
            <w:pPr>
              <w:jc w:val="both"/>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蚜虫：及时调查蚜虫量和天敌数量，当百株蚜虫超过500头，用20%吡虫啉15g/亩喷雾防治，既可杀灭蚜虫，又能保护天敌。</w:t>
            </w:r>
          </w:p>
          <w:p w14:paraId="7AEF03CB">
            <w:pPr>
              <w:jc w:val="both"/>
              <w:rPr>
                <w:rFonts w:hint="eastAsia" w:ascii="楷体_GB2312" w:hAnsi="楷体_GB2312" w:eastAsia="楷体_GB2312" w:cs="楷体_GB2312"/>
                <w:b/>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棉铃虫：用1.8%阿维菌素乳油40～50mL/亩喷雾。</w:t>
            </w:r>
          </w:p>
        </w:tc>
        <w:tc>
          <w:tcPr>
            <w:tcW w:w="4330" w:type="dxa"/>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A053C0">
            <w:pPr>
              <w:keepNext w:val="0"/>
              <w:keepLines w:val="0"/>
              <w:widowControl/>
              <w:suppressLineNumbers w:val="0"/>
              <w:jc w:val="both"/>
              <w:textAlignment w:val="center"/>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针对作物不同生育期易发生的病虫草害，制定科学防治预案，注明易爆发的时间范围、诱发环境和形成灾害的表现，列出对应适用的“农业防治、生物防治、物理防治和化学防治”等防治措施，包括相应的药剂施用方案、设备设施布置方案、天敌释放数量方案等。本部分难点在于灾害诊断，各服务主体应有专业的技术人员（或聘任兼职专家）负责防治方案的制定和实施，或将本项工作托管给专业的植保队伍。</w:t>
            </w:r>
          </w:p>
        </w:tc>
      </w:tr>
      <w:tr w14:paraId="2E1D314C">
        <w:tblPrEx>
          <w:tblCellMar>
            <w:top w:w="0" w:type="dxa"/>
            <w:left w:w="0" w:type="dxa"/>
            <w:bottom w:w="0" w:type="dxa"/>
            <w:right w:w="0" w:type="dxa"/>
          </w:tblCellMar>
        </w:tblPrEx>
        <w:trPr>
          <w:trHeight w:val="732" w:hRule="atLeast"/>
          <w:tblHeader/>
          <w:jc w:val="center"/>
        </w:trPr>
        <w:tc>
          <w:tcPr>
            <w:tcW w:w="148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58B4C766">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1D94AA">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作业机具</w:t>
            </w:r>
          </w:p>
        </w:tc>
        <w:tc>
          <w:tcPr>
            <w:tcW w:w="65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429D4">
            <w:pPr>
              <w:keepNext w:val="0"/>
              <w:keepLines w:val="0"/>
              <w:widowControl/>
              <w:suppressLineNumbers w:val="0"/>
              <w:jc w:val="both"/>
              <w:textAlignment w:val="center"/>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多旋翼无人机</w:t>
            </w:r>
          </w:p>
        </w:tc>
        <w:tc>
          <w:tcPr>
            <w:tcW w:w="4330"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250F80D3">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列出植保方案中的作业机具，如无人机、高地隙植保机等。</w:t>
            </w:r>
          </w:p>
        </w:tc>
      </w:tr>
      <w:tr w14:paraId="58ACE396">
        <w:tblPrEx>
          <w:tblCellMar>
            <w:top w:w="0" w:type="dxa"/>
            <w:left w:w="0" w:type="dxa"/>
            <w:bottom w:w="0" w:type="dxa"/>
            <w:right w:w="0" w:type="dxa"/>
          </w:tblCellMar>
        </w:tblPrEx>
        <w:trPr>
          <w:trHeight w:val="784" w:hRule="atLeast"/>
          <w:tblHeader/>
          <w:jc w:val="center"/>
        </w:trPr>
        <w:tc>
          <w:tcPr>
            <w:tcW w:w="148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7943F43C">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68B22C">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作业要求</w:t>
            </w:r>
          </w:p>
        </w:tc>
        <w:tc>
          <w:tcPr>
            <w:tcW w:w="65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D8F69">
            <w:pPr>
              <w:keepNext w:val="0"/>
              <w:keepLines w:val="0"/>
              <w:widowControl/>
              <w:suppressLineNumbers w:val="0"/>
              <w:jc w:val="both"/>
              <w:textAlignment w:val="center"/>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锁高、直线、匀速飞行，狭窄空间定点起降，1、应在离地面两米高度上飞行。飞行高度精度应在分米级。2、必须保持直线飞行，以保证不产生漏喷、重喷现象。飞行水平精度应在分米级。3、慢速匀速飞行。应该保持在4～6米/秒的匀速飞行。</w:t>
            </w:r>
          </w:p>
        </w:tc>
        <w:tc>
          <w:tcPr>
            <w:tcW w:w="4330"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75672077">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说明植保作业的效果。</w:t>
            </w:r>
          </w:p>
        </w:tc>
      </w:tr>
      <w:tr w14:paraId="52CD7F08">
        <w:tblPrEx>
          <w:tblCellMar>
            <w:top w:w="0" w:type="dxa"/>
            <w:left w:w="0" w:type="dxa"/>
            <w:bottom w:w="0" w:type="dxa"/>
            <w:right w:w="0" w:type="dxa"/>
          </w:tblCellMar>
        </w:tblPrEx>
        <w:trPr>
          <w:trHeight w:val="714" w:hRule="atLeast"/>
          <w:tblHeader/>
          <w:jc w:val="center"/>
        </w:trPr>
        <w:tc>
          <w:tcPr>
            <w:tcW w:w="1480" w:type="dxa"/>
            <w:vMerge w:val="restart"/>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55E00A03">
            <w:pPr>
              <w:jc w:val="center"/>
              <w:rPr>
                <w:rFonts w:hint="eastAsia" w:ascii="楷体_GB2312" w:hAnsi="楷体_GB2312" w:eastAsia="楷体_GB2312" w:cs="楷体_GB2312"/>
                <w:b/>
                <w:i w:val="0"/>
                <w:color w:val="000000"/>
                <w:kern w:val="0"/>
                <w:sz w:val="22"/>
                <w:szCs w:val="22"/>
                <w:u w:val="none"/>
                <w:lang w:val="en-US" w:eastAsia="zh-CN" w:bidi="ar"/>
              </w:rPr>
            </w:pPr>
            <w:r>
              <w:rPr>
                <w:rFonts w:hint="eastAsia" w:ascii="楷体_GB2312" w:hAnsi="楷体_GB2312" w:eastAsia="楷体_GB2312" w:cs="楷体_GB2312"/>
                <w:b/>
                <w:i w:val="0"/>
                <w:color w:val="000000"/>
                <w:kern w:val="0"/>
                <w:sz w:val="22"/>
                <w:szCs w:val="22"/>
                <w:u w:val="none"/>
                <w:lang w:val="en-US" w:eastAsia="zh-CN" w:bidi="ar"/>
              </w:rPr>
              <w:t>作物收获</w:t>
            </w:r>
          </w:p>
          <w:p w14:paraId="282B3B73">
            <w:pPr>
              <w:jc w:val="center"/>
              <w:rPr>
                <w:rFonts w:hint="eastAsia" w:ascii="楷体_GB2312" w:hAnsi="楷体_GB2312" w:eastAsia="楷体_GB2312" w:cs="楷体_GB2312"/>
                <w:b/>
                <w:i w:val="0"/>
                <w:color w:val="000000"/>
                <w:kern w:val="0"/>
                <w:sz w:val="22"/>
                <w:szCs w:val="22"/>
                <w:u w:val="none"/>
                <w:lang w:val="en-US" w:eastAsia="zh-CN" w:bidi="ar"/>
              </w:rPr>
            </w:pPr>
          </w:p>
          <w:p w14:paraId="0F491E46">
            <w:pPr>
              <w:jc w:val="center"/>
              <w:rPr>
                <w:rFonts w:hint="eastAsia" w:ascii="楷体_GB2312" w:hAnsi="楷体_GB2312" w:eastAsia="楷体_GB2312" w:cs="楷体_GB2312"/>
                <w:b/>
                <w:i w:val="0"/>
                <w:color w:val="000000"/>
                <w:kern w:val="0"/>
                <w:sz w:val="22"/>
                <w:szCs w:val="22"/>
                <w:u w:val="none"/>
                <w:lang w:val="en-US" w:eastAsia="zh-CN" w:bidi="ar"/>
              </w:rPr>
            </w:pPr>
          </w:p>
          <w:p w14:paraId="4EC89A88">
            <w:pPr>
              <w:jc w:val="center"/>
              <w:rPr>
                <w:rFonts w:hint="eastAsia" w:ascii="楷体_GB2312" w:hAnsi="楷体_GB2312" w:eastAsia="楷体_GB2312" w:cs="楷体_GB2312"/>
                <w:b/>
                <w:i w:val="0"/>
                <w:color w:val="000000"/>
                <w:kern w:val="0"/>
                <w:sz w:val="22"/>
                <w:szCs w:val="22"/>
                <w:u w:val="none"/>
                <w:lang w:val="en-US" w:eastAsia="zh-CN" w:bidi="ar"/>
              </w:rPr>
            </w:pPr>
          </w:p>
          <w:p w14:paraId="3DACAFC0">
            <w:pPr>
              <w:jc w:val="center"/>
              <w:rPr>
                <w:rFonts w:hint="eastAsia" w:ascii="楷体_GB2312" w:hAnsi="楷体_GB2312" w:eastAsia="楷体_GB2312" w:cs="楷体_GB2312"/>
                <w:b/>
                <w:i w:val="0"/>
                <w:color w:val="000000"/>
                <w:kern w:val="0"/>
                <w:sz w:val="22"/>
                <w:szCs w:val="22"/>
                <w:u w:val="none"/>
                <w:lang w:val="en-US" w:eastAsia="zh-CN" w:bidi="ar"/>
              </w:rPr>
            </w:pPr>
          </w:p>
          <w:p w14:paraId="677E9EB8">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E778">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收获机机型</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54217">
            <w:pPr>
              <w:keepNext w:val="0"/>
              <w:keepLines w:val="0"/>
              <w:widowControl/>
              <w:suppressLineNumbers w:val="0"/>
              <w:jc w:val="both"/>
              <w:textAlignment w:val="center"/>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联合收割机</w:t>
            </w:r>
          </w:p>
        </w:tc>
        <w:tc>
          <w:tcPr>
            <w:tcW w:w="43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CF52A6">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按作物品种、收获物、地块面积和地形条件选择收割机机型。</w:t>
            </w:r>
          </w:p>
        </w:tc>
      </w:tr>
      <w:tr w14:paraId="13BFEDF3">
        <w:tblPrEx>
          <w:tblCellMar>
            <w:top w:w="0" w:type="dxa"/>
            <w:left w:w="0" w:type="dxa"/>
            <w:bottom w:w="0" w:type="dxa"/>
            <w:right w:w="0" w:type="dxa"/>
          </w:tblCellMar>
        </w:tblPrEx>
        <w:trPr>
          <w:trHeight w:val="23" w:hRule="atLeast"/>
          <w:tblHeader/>
          <w:jc w:val="center"/>
        </w:trPr>
        <w:tc>
          <w:tcPr>
            <w:tcW w:w="1480" w:type="dxa"/>
            <w:vMerge w:val="continue"/>
            <w:tcBorders>
              <w:left w:val="single" w:color="auto" w:sz="4" w:space="0"/>
              <w:right w:val="single" w:color="000000" w:sz="4" w:space="0"/>
            </w:tcBorders>
            <w:shd w:val="clear" w:color="auto" w:fill="auto"/>
            <w:tcMar>
              <w:top w:w="15" w:type="dxa"/>
              <w:left w:w="15" w:type="dxa"/>
              <w:right w:w="15" w:type="dxa"/>
            </w:tcMar>
            <w:vAlign w:val="center"/>
          </w:tcPr>
          <w:p w14:paraId="3D3682A5">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1CAA7">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作业时间范围</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1A337">
            <w:pPr>
              <w:keepNext w:val="0"/>
              <w:keepLines w:val="0"/>
              <w:widowControl/>
              <w:suppressLineNumbers w:val="0"/>
              <w:jc w:val="both"/>
              <w:textAlignment w:val="center"/>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6月20日至7月10日</w:t>
            </w:r>
          </w:p>
        </w:tc>
        <w:tc>
          <w:tcPr>
            <w:tcW w:w="43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C046D7">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按作物成熟度、气象条件、土壤条件等作业条件要求，确定收割时间及作业进度。</w:t>
            </w:r>
          </w:p>
        </w:tc>
      </w:tr>
      <w:tr w14:paraId="15850E2D">
        <w:tblPrEx>
          <w:tblCellMar>
            <w:top w:w="0" w:type="dxa"/>
            <w:left w:w="0" w:type="dxa"/>
            <w:bottom w:w="0" w:type="dxa"/>
            <w:right w:w="0" w:type="dxa"/>
          </w:tblCellMar>
        </w:tblPrEx>
        <w:trPr>
          <w:trHeight w:val="943" w:hRule="atLeast"/>
          <w:tblHeader/>
          <w:jc w:val="center"/>
        </w:trPr>
        <w:tc>
          <w:tcPr>
            <w:tcW w:w="1480" w:type="dxa"/>
            <w:vMerge w:val="continue"/>
            <w:tcBorders>
              <w:left w:val="single" w:color="auto" w:sz="4" w:space="0"/>
              <w:right w:val="single" w:color="000000" w:sz="4" w:space="0"/>
            </w:tcBorders>
            <w:shd w:val="clear" w:color="auto" w:fill="auto"/>
            <w:tcMar>
              <w:top w:w="15" w:type="dxa"/>
              <w:left w:w="15" w:type="dxa"/>
              <w:right w:w="15" w:type="dxa"/>
            </w:tcMar>
            <w:vAlign w:val="center"/>
          </w:tcPr>
          <w:p w14:paraId="1E99B444">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94349">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作业要求</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37023">
            <w:pPr>
              <w:keepNext w:val="0"/>
              <w:keepLines w:val="0"/>
              <w:widowControl/>
              <w:suppressLineNumbers w:val="0"/>
              <w:jc w:val="both"/>
              <w:textAlignment w:val="center"/>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收获过程中总损失不得超过1.5%，籽粒破碎率2.5%以下，籽粒脱净度97%以上，留茬高度12cm以下。</w:t>
            </w:r>
          </w:p>
        </w:tc>
        <w:tc>
          <w:tcPr>
            <w:tcW w:w="43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B24446">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列出所采用收割机的作业宽度、速度、秸秆切碎长度、割茬高度、籽粒损失率、果穗损失率、籽粒破碎率、秸秆抛撒不均匀率等作业特性。</w:t>
            </w:r>
          </w:p>
        </w:tc>
      </w:tr>
      <w:tr w14:paraId="26B89C04">
        <w:tblPrEx>
          <w:tblCellMar>
            <w:top w:w="0" w:type="dxa"/>
            <w:left w:w="0" w:type="dxa"/>
            <w:bottom w:w="0" w:type="dxa"/>
            <w:right w:w="0" w:type="dxa"/>
          </w:tblCellMar>
        </w:tblPrEx>
        <w:trPr>
          <w:trHeight w:val="412" w:hRule="atLeast"/>
          <w:tblHeader/>
          <w:jc w:val="center"/>
        </w:trPr>
        <w:tc>
          <w:tcPr>
            <w:tcW w:w="1480" w:type="dxa"/>
            <w:vMerge w:val="continue"/>
            <w:tcBorders>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441A949D">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C077B2C">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作业效果</w:t>
            </w:r>
          </w:p>
        </w:tc>
        <w:tc>
          <w:tcPr>
            <w:tcW w:w="651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EE08A45">
            <w:pPr>
              <w:keepNext w:val="0"/>
              <w:keepLines w:val="0"/>
              <w:widowControl/>
              <w:suppressLineNumbers w:val="0"/>
              <w:jc w:val="both"/>
              <w:textAlignment w:val="center"/>
              <w:rPr>
                <w:rFonts w:hint="eastAsia" w:ascii="楷体_GB2312" w:hAnsi="楷体_GB2312" w:eastAsia="楷体_GB2312" w:cs="楷体_GB2312"/>
                <w:i w:val="0"/>
                <w:color w:val="000000"/>
                <w:kern w:val="0"/>
                <w:sz w:val="22"/>
                <w:szCs w:val="22"/>
                <w:u w:val="none"/>
                <w:lang w:val="en-US" w:eastAsia="zh-CN" w:bidi="ar"/>
              </w:rPr>
            </w:pPr>
            <w:r>
              <w:rPr>
                <w:rFonts w:hint="eastAsia" w:ascii="楷体_GB2312" w:hAnsi="楷体_GB2312" w:eastAsia="楷体_GB2312" w:cs="楷体_GB2312"/>
                <w:i w:val="0"/>
                <w:color w:val="000000"/>
                <w:kern w:val="0"/>
                <w:sz w:val="22"/>
                <w:szCs w:val="22"/>
                <w:u w:val="none"/>
                <w:lang w:val="en-US" w:eastAsia="zh-CN" w:bidi="ar"/>
              </w:rPr>
              <w:t>收的净，麦茬低，速度快，损失少</w:t>
            </w:r>
          </w:p>
        </w:tc>
        <w:tc>
          <w:tcPr>
            <w:tcW w:w="4330" w:type="dxa"/>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47F2E283">
            <w:pPr>
              <w:keepNext w:val="0"/>
              <w:keepLines w:val="0"/>
              <w:widowControl/>
              <w:suppressLineNumbers w:val="0"/>
              <w:jc w:val="both"/>
              <w:textAlignment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说明可达到的作业效果。</w:t>
            </w:r>
          </w:p>
        </w:tc>
      </w:tr>
    </w:tbl>
    <w:p w14:paraId="0CAD5A47">
      <w:pPr>
        <w:keepNext w:val="0"/>
        <w:keepLines w:val="0"/>
        <w:pageBreakBefore w:val="0"/>
        <w:widowControl w:val="0"/>
        <w:kinsoku/>
        <w:wordWrap/>
        <w:overflowPunct/>
        <w:topLinePunct w:val="0"/>
        <w:autoSpaceDE/>
        <w:autoSpaceDN/>
        <w:bidi w:val="0"/>
        <w:adjustRightInd/>
        <w:snapToGrid/>
        <w:spacing w:before="157" w:beforeLines="50"/>
        <w:ind w:firstLine="442" w:firstLineChars="200"/>
        <w:textAlignment w:val="auto"/>
        <w:rPr>
          <w:rFonts w:hint="eastAsia" w:ascii="楷体_GB2312" w:hAnsi="楷体_GB2312" w:eastAsia="楷体_GB2312" w:cs="楷体_GB2312"/>
          <w:b/>
          <w:bCs/>
          <w:sz w:val="22"/>
          <w:szCs w:val="22"/>
          <w:lang w:eastAsia="zh-CN"/>
        </w:rPr>
      </w:pPr>
      <w:r>
        <w:rPr>
          <w:rFonts w:hint="eastAsia" w:ascii="楷体_GB2312" w:hAnsi="楷体_GB2312" w:eastAsia="楷体_GB2312" w:cs="楷体_GB2312"/>
          <w:b/>
          <w:bCs/>
          <w:sz w:val="22"/>
          <w:szCs w:val="22"/>
          <w:lang w:eastAsia="zh-CN"/>
        </w:rPr>
        <w:t>注：</w:t>
      </w:r>
      <w:r>
        <w:rPr>
          <w:rFonts w:hint="eastAsia" w:ascii="楷体_GB2312" w:hAnsi="楷体_GB2312" w:eastAsia="楷体_GB2312" w:cs="楷体_GB2312"/>
          <w:b/>
          <w:bCs/>
          <w:sz w:val="22"/>
          <w:szCs w:val="22"/>
          <w:lang w:val="en-US" w:eastAsia="zh-CN"/>
        </w:rPr>
        <w:t>1.</w:t>
      </w:r>
      <w:r>
        <w:rPr>
          <w:rFonts w:hint="eastAsia" w:ascii="楷体_GB2312" w:hAnsi="楷体_GB2312" w:eastAsia="楷体_GB2312" w:cs="楷体_GB2312"/>
          <w:b/>
          <w:bCs/>
          <w:sz w:val="22"/>
          <w:szCs w:val="22"/>
          <w:lang w:eastAsia="zh-CN"/>
        </w:rPr>
        <w:t>甲乙双方根据约定选择服务事项和服务内容，也可根据实际情况增加具体服务内容；</w:t>
      </w:r>
    </w:p>
    <w:p w14:paraId="5DBB2503">
      <w:pPr>
        <w:keepNext w:val="0"/>
        <w:keepLines w:val="0"/>
        <w:pageBreakBefore w:val="0"/>
        <w:widowControl w:val="0"/>
        <w:kinsoku/>
        <w:wordWrap/>
        <w:overflowPunct/>
        <w:topLinePunct w:val="0"/>
        <w:autoSpaceDE/>
        <w:autoSpaceDN/>
        <w:bidi w:val="0"/>
        <w:adjustRightInd/>
        <w:snapToGrid/>
        <w:spacing w:before="157" w:beforeLines="50"/>
        <w:ind w:firstLine="883" w:firstLineChars="400"/>
        <w:textAlignment w:val="auto"/>
        <w:rPr>
          <w:rFonts w:hint="eastAsia" w:ascii="楷体_GB2312" w:hAnsi="楷体_GB2312" w:eastAsia="楷体_GB2312" w:cs="楷体_GB2312"/>
          <w:b/>
          <w:bCs/>
          <w:sz w:val="22"/>
          <w:szCs w:val="22"/>
          <w:lang w:eastAsia="zh-CN"/>
        </w:rPr>
      </w:pPr>
      <w:r>
        <w:rPr>
          <w:rFonts w:hint="eastAsia" w:ascii="楷体_GB2312" w:hAnsi="楷体_GB2312" w:eastAsia="楷体_GB2312" w:cs="楷体_GB2312"/>
          <w:b/>
          <w:bCs/>
          <w:sz w:val="22"/>
          <w:szCs w:val="22"/>
          <w:lang w:val="en-US" w:eastAsia="zh-CN"/>
        </w:rPr>
        <w:t>2.</w:t>
      </w:r>
      <w:r>
        <w:rPr>
          <w:rFonts w:hint="eastAsia" w:ascii="楷体_GB2312" w:hAnsi="楷体_GB2312" w:eastAsia="楷体_GB2312" w:cs="楷体_GB2312"/>
          <w:b/>
          <w:bCs/>
          <w:sz w:val="22"/>
          <w:szCs w:val="22"/>
          <w:lang w:eastAsia="zh-CN"/>
        </w:rPr>
        <w:t>本《</w:t>
      </w:r>
      <w:r>
        <w:rPr>
          <w:rFonts w:hint="eastAsia" w:ascii="楷体_GB2312" w:hAnsi="楷体_GB2312" w:eastAsia="楷体_GB2312" w:cs="楷体_GB2312"/>
          <w:b/>
          <w:bCs/>
          <w:sz w:val="22"/>
          <w:szCs w:val="22"/>
          <w:lang w:val="en-US" w:eastAsia="zh-CN"/>
        </w:rPr>
        <w:t>农业生产托管服务标准指引》</w:t>
      </w:r>
      <w:r>
        <w:rPr>
          <w:rFonts w:hint="eastAsia" w:ascii="楷体_GB2312" w:hAnsi="楷体_GB2312" w:eastAsia="楷体_GB2312" w:cs="楷体_GB2312"/>
          <w:b/>
          <w:bCs/>
          <w:sz w:val="22"/>
          <w:szCs w:val="22"/>
          <w:lang w:eastAsia="zh-CN"/>
        </w:rPr>
        <w:t>一式两份，甲乙双方各执一份，附于《农业生产托管服务合同</w:t>
      </w:r>
      <w:r>
        <w:rPr>
          <w:rFonts w:hint="default" w:ascii="楷体_GB2312" w:hAnsi="楷体_GB2312" w:eastAsia="楷体_GB2312" w:cs="楷体_GB2312"/>
          <w:b/>
          <w:bCs/>
          <w:sz w:val="22"/>
          <w:szCs w:val="22"/>
          <w:lang w:eastAsia="zh-CN"/>
        </w:rPr>
        <w:t>示范文本</w:t>
      </w:r>
      <w:r>
        <w:rPr>
          <w:rFonts w:hint="eastAsia" w:ascii="楷体_GB2312" w:hAnsi="楷体_GB2312" w:eastAsia="楷体_GB2312" w:cs="楷体_GB2312"/>
          <w:b/>
          <w:bCs/>
          <w:sz w:val="22"/>
          <w:szCs w:val="22"/>
          <w:lang w:eastAsia="zh-CN"/>
        </w:rPr>
        <w:t>》之后，具有同等法律效力。</w:t>
      </w:r>
    </w:p>
    <w:p w14:paraId="0F790A56">
      <w:pPr>
        <w:rPr>
          <w:rFonts w:hint="default"/>
          <w:b/>
          <w:bCs/>
          <w:sz w:val="24"/>
          <w:szCs w:val="24"/>
          <w:lang w:val="en-US" w:eastAsia="zh-CN"/>
        </w:rPr>
      </w:pPr>
    </w:p>
    <w:p w14:paraId="667AC76F">
      <w:pPr>
        <w:rPr>
          <w:rFonts w:hint="eastAsia"/>
          <w:b/>
          <w:bCs/>
          <w:sz w:val="24"/>
          <w:szCs w:val="24"/>
          <w:lang w:eastAsia="zh-CN"/>
        </w:rPr>
      </w:pPr>
    </w:p>
    <w:p w14:paraId="0B5365A4">
      <w:pPr>
        <w:rPr>
          <w:rFonts w:hint="eastAsia"/>
          <w:b/>
          <w:bCs/>
          <w:sz w:val="24"/>
          <w:szCs w:val="24"/>
          <w:lang w:eastAsia="zh-CN"/>
        </w:rPr>
      </w:pPr>
    </w:p>
    <w:p w14:paraId="683C21A9">
      <w:pPr>
        <w:rPr>
          <w:rFonts w:hint="eastAsia"/>
          <w:b/>
          <w:bCs/>
          <w:sz w:val="24"/>
          <w:szCs w:val="24"/>
          <w:lang w:eastAsia="zh-CN"/>
        </w:rPr>
      </w:pPr>
    </w:p>
    <w:p w14:paraId="69D1DACC">
      <w:pPr>
        <w:spacing w:line="480" w:lineRule="auto"/>
        <w:ind w:firstLine="482" w:firstLineChars="200"/>
        <w:rPr>
          <w:rFonts w:hint="eastAsia"/>
          <w:sz w:val="24"/>
        </w:rPr>
      </w:pPr>
      <w:r>
        <w:rPr>
          <w:rFonts w:hint="eastAsia"/>
          <w:b/>
          <w:bCs/>
          <w:sz w:val="24"/>
        </w:rPr>
        <w:t>甲方（签字</w:t>
      </w:r>
      <w:r>
        <w:rPr>
          <w:rFonts w:hint="default"/>
          <w:b/>
          <w:bCs/>
          <w:sz w:val="24"/>
        </w:rPr>
        <w:t>或盖章</w:t>
      </w:r>
      <w:r>
        <w:rPr>
          <w:rFonts w:hint="eastAsia"/>
          <w:b/>
          <w:bCs/>
          <w:sz w:val="24"/>
        </w:rPr>
        <w:t>）：</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rPr>
        <w:t xml:space="preserve">    </w:t>
      </w:r>
      <w:r>
        <w:rPr>
          <w:rFonts w:hint="eastAsia"/>
          <w:b/>
          <w:bCs/>
          <w:sz w:val="24"/>
        </w:rPr>
        <w:t xml:space="preserve"> </w:t>
      </w:r>
      <w:r>
        <w:rPr>
          <w:rFonts w:hint="eastAsia"/>
          <w:b/>
          <w:bCs/>
          <w:sz w:val="24"/>
          <w:lang w:val="en-US" w:eastAsia="zh-CN"/>
        </w:rPr>
        <w:t xml:space="preserve">             </w:t>
      </w:r>
      <w:r>
        <w:rPr>
          <w:rFonts w:hint="default"/>
          <w:b/>
          <w:bCs/>
          <w:sz w:val="24"/>
        </w:rPr>
        <w:t xml:space="preserve">   </w:t>
      </w:r>
      <w:r>
        <w:rPr>
          <w:rFonts w:hint="eastAsia"/>
          <w:b/>
          <w:bCs/>
          <w:sz w:val="24"/>
        </w:rPr>
        <w:t>乙方（</w:t>
      </w:r>
      <w:r>
        <w:rPr>
          <w:rFonts w:hint="default"/>
          <w:b/>
          <w:bCs/>
          <w:sz w:val="24"/>
        </w:rPr>
        <w:t>签字或</w:t>
      </w:r>
      <w:r>
        <w:rPr>
          <w:rFonts w:hint="eastAsia"/>
          <w:b/>
          <w:bCs/>
          <w:sz w:val="24"/>
        </w:rPr>
        <w:t>盖章）：</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rPr>
        <w:t xml:space="preserve">  </w:t>
      </w:r>
    </w:p>
    <w:p w14:paraId="2BDFBF48">
      <w:pPr>
        <w:spacing w:line="480" w:lineRule="auto"/>
        <w:ind w:firstLine="482" w:firstLineChars="200"/>
        <w:rPr>
          <w:rFonts w:hint="default" w:ascii="楷体_GB2312" w:hAnsi="楷体_GB2312" w:eastAsia="楷体_GB2312" w:cs="楷体_GB2312"/>
          <w:b/>
          <w:i w:val="0"/>
          <w:color w:val="000000"/>
          <w:kern w:val="0"/>
          <w:sz w:val="44"/>
          <w:szCs w:val="44"/>
          <w:u w:val="none"/>
          <w:lang w:val="en-US" w:eastAsia="zh-CN" w:bidi="ar"/>
        </w:rPr>
      </w:pPr>
      <w:r>
        <w:rPr>
          <w:rFonts w:hint="default"/>
          <w:b/>
          <w:bCs/>
          <w:sz w:val="24"/>
        </w:rPr>
        <w:t>时    间</w:t>
      </w:r>
      <w:r>
        <w:rPr>
          <w:rFonts w:hint="eastAsia"/>
          <w:b/>
          <w:bCs/>
          <w:sz w:val="24"/>
        </w:rPr>
        <w:t xml:space="preserve"> </w:t>
      </w:r>
      <w:r>
        <w:rPr>
          <w:rFonts w:hint="default"/>
          <w:b/>
          <w:bCs/>
          <w:sz w:val="24"/>
        </w:rPr>
        <w:t>：</w:t>
      </w:r>
      <w:r>
        <w:rPr>
          <w:rFonts w:hint="eastAsia"/>
          <w:b/>
          <w:bCs/>
          <w:sz w:val="24"/>
          <w:u w:val="single"/>
        </w:rPr>
        <w:t xml:space="preserve">      </w:t>
      </w:r>
      <w:r>
        <w:rPr>
          <w:rFonts w:hint="eastAsia"/>
          <w:b/>
          <w:bCs/>
          <w:sz w:val="24"/>
        </w:rPr>
        <w:t>年</w:t>
      </w:r>
      <w:r>
        <w:rPr>
          <w:rFonts w:hint="eastAsia"/>
          <w:b/>
          <w:bCs/>
          <w:sz w:val="24"/>
          <w:u w:val="single"/>
        </w:rPr>
        <w:t xml:space="preserve">      </w:t>
      </w:r>
      <w:r>
        <w:rPr>
          <w:rFonts w:hint="eastAsia"/>
          <w:b/>
          <w:bCs/>
          <w:sz w:val="24"/>
        </w:rPr>
        <w:t>月</w:t>
      </w:r>
      <w:r>
        <w:rPr>
          <w:rFonts w:hint="eastAsia"/>
          <w:b/>
          <w:bCs/>
          <w:sz w:val="24"/>
          <w:u w:val="single"/>
        </w:rPr>
        <w:t xml:space="preserve">      </w:t>
      </w:r>
      <w:r>
        <w:rPr>
          <w:rFonts w:hint="eastAsia"/>
          <w:b/>
          <w:bCs/>
          <w:sz w:val="24"/>
        </w:rPr>
        <w:t>日</w:t>
      </w:r>
      <w:r>
        <w:rPr>
          <w:rFonts w:hint="default"/>
          <w:b/>
          <w:bCs/>
          <w:sz w:val="24"/>
        </w:rPr>
        <w:t xml:space="preserve">     </w:t>
      </w:r>
      <w:r>
        <w:rPr>
          <w:rFonts w:hint="eastAsia"/>
          <w:b/>
          <w:bCs/>
          <w:sz w:val="24"/>
          <w:lang w:val="en-US" w:eastAsia="zh-CN"/>
        </w:rPr>
        <w:t xml:space="preserve">                  </w:t>
      </w:r>
      <w:r>
        <w:rPr>
          <w:rFonts w:hint="default"/>
          <w:b/>
          <w:bCs/>
          <w:sz w:val="24"/>
        </w:rPr>
        <w:t xml:space="preserve"> 时    间</w:t>
      </w:r>
      <w:r>
        <w:rPr>
          <w:rFonts w:hint="eastAsia"/>
          <w:b/>
          <w:bCs/>
          <w:sz w:val="24"/>
        </w:rPr>
        <w:t xml:space="preserve"> </w:t>
      </w:r>
      <w:r>
        <w:rPr>
          <w:rFonts w:hint="default"/>
          <w:b/>
          <w:bCs/>
          <w:sz w:val="24"/>
        </w:rPr>
        <w:t>：</w:t>
      </w:r>
      <w:r>
        <w:rPr>
          <w:rFonts w:hint="eastAsia"/>
          <w:b/>
          <w:bCs/>
          <w:sz w:val="24"/>
          <w:u w:val="single"/>
        </w:rPr>
        <w:t xml:space="preserve">      </w:t>
      </w:r>
      <w:r>
        <w:rPr>
          <w:rFonts w:hint="eastAsia"/>
          <w:b/>
          <w:bCs/>
          <w:sz w:val="24"/>
        </w:rPr>
        <w:t>年</w:t>
      </w:r>
      <w:r>
        <w:rPr>
          <w:rFonts w:hint="eastAsia"/>
          <w:b/>
          <w:bCs/>
          <w:sz w:val="24"/>
          <w:u w:val="single"/>
        </w:rPr>
        <w:t xml:space="preserve">      </w:t>
      </w:r>
      <w:r>
        <w:rPr>
          <w:rFonts w:hint="eastAsia"/>
          <w:b/>
          <w:bCs/>
          <w:sz w:val="24"/>
        </w:rPr>
        <w:t>月</w:t>
      </w:r>
      <w:r>
        <w:rPr>
          <w:rFonts w:hint="eastAsia"/>
          <w:b/>
          <w:bCs/>
          <w:sz w:val="24"/>
          <w:u w:val="single"/>
        </w:rPr>
        <w:t xml:space="preserve">      </w:t>
      </w:r>
      <w:r>
        <w:rPr>
          <w:rFonts w:hint="eastAsia"/>
          <w:b/>
          <w:bCs/>
          <w:sz w:val="24"/>
        </w:rPr>
        <w:t>日</w:t>
      </w:r>
      <w:r>
        <w:rPr>
          <w:rFonts w:hint="default" w:ascii="仿宋_GB2312" w:hAnsi="仿宋_GB2312" w:eastAsia="仿宋_GB2312" w:cs="仿宋_GB2312"/>
          <w:kern w:val="21"/>
          <w:sz w:val="32"/>
          <w:szCs w:val="32"/>
        </w:rPr>
        <w:t xml:space="preserve">        </w:t>
      </w:r>
      <w:r>
        <w:rPr>
          <w:rFonts w:hint="default" w:ascii="楷体_GB2312" w:hAnsi="楷体_GB2312" w:eastAsia="楷体_GB2312" w:cs="楷体_GB2312"/>
          <w:b/>
          <w:i w:val="0"/>
          <w:color w:val="000000"/>
          <w:kern w:val="0"/>
          <w:sz w:val="44"/>
          <w:szCs w:val="44"/>
          <w:u w:val="none"/>
          <w:lang w:val="en-US" w:eastAsia="zh-CN" w:bidi="ar"/>
        </w:rPr>
        <w:t xml:space="preserve">  </w:t>
      </w:r>
    </w:p>
    <w:p w14:paraId="385B5468">
      <w:pPr>
        <w:keepNext w:val="0"/>
        <w:keepLines w:val="0"/>
        <w:pageBreakBefore w:val="0"/>
        <w:widowControl w:val="0"/>
        <w:kinsoku/>
        <w:wordWrap/>
        <w:overflowPunct/>
        <w:topLinePunct w:val="0"/>
        <w:autoSpaceDE/>
        <w:autoSpaceDN/>
        <w:bidi w:val="0"/>
        <w:adjustRightInd/>
        <w:snapToGrid/>
        <w:spacing w:line="560" w:lineRule="exact"/>
        <w:ind w:firstLine="2209" w:firstLineChars="500"/>
        <w:textAlignment w:val="auto"/>
        <w:rPr>
          <w:rFonts w:hint="eastAsia" w:ascii="楷体_GB2312" w:hAnsi="楷体_GB2312" w:eastAsia="楷体_GB2312" w:cs="楷体_GB2312"/>
          <w:b/>
          <w:i w:val="0"/>
          <w:color w:val="000000"/>
          <w:kern w:val="0"/>
          <w:sz w:val="44"/>
          <w:szCs w:val="44"/>
          <w:u w:val="none"/>
          <w:lang w:val="en-US" w:eastAsia="zh-CN" w:bidi="ar"/>
        </w:rPr>
      </w:pPr>
    </w:p>
    <w:p w14:paraId="53380AE9">
      <w:pPr>
        <w:pStyle w:val="4"/>
        <w:rPr>
          <w:rFonts w:hint="eastAsia" w:ascii="楷体_GB2312" w:hAnsi="楷体_GB2312" w:eastAsia="楷体_GB2312" w:cs="楷体_GB2312"/>
          <w:b/>
          <w:i w:val="0"/>
          <w:color w:val="000000"/>
          <w:kern w:val="0"/>
          <w:sz w:val="44"/>
          <w:szCs w:val="44"/>
          <w:u w:val="none"/>
          <w:lang w:val="en-US" w:eastAsia="zh-CN" w:bidi="ar"/>
        </w:rPr>
      </w:pPr>
    </w:p>
    <w:p w14:paraId="2ADFAD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b/>
          <w:bCs/>
          <w:sz w:val="24"/>
          <w:u w:val="single"/>
        </w:rPr>
      </w:pPr>
    </w:p>
    <w:sectPr>
      <w:pgSz w:w="16838" w:h="11906" w:orient="landscape"/>
      <w:pgMar w:top="1134" w:right="1417" w:bottom="1134" w:left="1417" w:header="567" w:footer="397" w:gutter="0"/>
      <w:pgNumType w:fmt="decimal"/>
      <w:cols w:space="0" w:num="1"/>
      <w:titlePg/>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BC56DF5-6A8D-4471-908A-E76CAFD0DE81}"/>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B60B9B7-FE9B-4F06-A648-7A3EB6F008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3754FED2-0E2B-402D-B9AA-3AA1F5FD2F84}"/>
  </w:font>
  <w:font w:name="方正小标宋简体">
    <w:panose1 w:val="03000509000000000000"/>
    <w:charset w:val="86"/>
    <w:family w:val="auto"/>
    <w:pitch w:val="default"/>
    <w:sig w:usb0="00000001" w:usb1="080E0000" w:usb2="00000000" w:usb3="00000000" w:csb0="00040000" w:csb1="00000000"/>
    <w:embedRegular r:id="rId4" w:fontKey="{7C2A052F-69CB-4E58-886D-DE9C53FFAE9E}"/>
  </w:font>
  <w:font w:name="华文中宋">
    <w:panose1 w:val="02010600040101010101"/>
    <w:charset w:val="86"/>
    <w:family w:val="auto"/>
    <w:pitch w:val="default"/>
    <w:sig w:usb0="00000287" w:usb1="080F0000" w:usb2="00000000" w:usb3="00000000" w:csb0="0004009F" w:csb1="DFD70000"/>
    <w:embedRegular r:id="rId5" w:fontKey="{0200D061-7939-49A3-98F4-3D1CAC656E57}"/>
  </w:font>
  <w:font w:name="方正小标宋_GBK">
    <w:panose1 w:val="03000509000000000000"/>
    <w:charset w:val="86"/>
    <w:family w:val="auto"/>
    <w:pitch w:val="default"/>
    <w:sig w:usb0="00000001" w:usb1="080E0000" w:usb2="00000000" w:usb3="00000000" w:csb0="00040000" w:csb1="00000000"/>
    <w:embedRegular r:id="rId6" w:fontKey="{5CAE2417-F76C-41D5-9AA5-F339035F0402}"/>
  </w:font>
  <w:font w:name="楷体_GB2312">
    <w:panose1 w:val="02010609030101010101"/>
    <w:charset w:val="86"/>
    <w:family w:val="auto"/>
    <w:pitch w:val="default"/>
    <w:sig w:usb0="00000001" w:usb1="080E0000" w:usb2="00000000" w:usb3="00000000" w:csb0="00040000" w:csb1="00000000"/>
    <w:embedRegular r:id="rId7" w:fontKey="{68D853E8-5688-4150-964F-74948BD163B3}"/>
  </w:font>
  <w:font w:name="方正楷体">
    <w:altName w:val="宋体"/>
    <w:panose1 w:val="03000509000000000000"/>
    <w:charset w:val="86"/>
    <w:family w:val="auto"/>
    <w:pitch w:val="default"/>
    <w:sig w:usb0="00000000" w:usb1="00000000" w:usb2="00000000" w:usb3="00000000" w:csb0="00040000" w:csb1="00000000"/>
    <w:embedRegular r:id="rId8" w:fontKey="{C2DA4D8D-FAFE-47B5-AB9E-14C6C547F96E}"/>
  </w:font>
  <w:font w:name="华文仿宋">
    <w:panose1 w:val="02010600040101010101"/>
    <w:charset w:val="86"/>
    <w:family w:val="auto"/>
    <w:pitch w:val="default"/>
    <w:sig w:usb0="00000287" w:usb1="080F0000" w:usb2="00000000" w:usb3="00000000" w:csb0="0004009F" w:csb1="DFD70000"/>
    <w:embedRegular r:id="rId9" w:fontKey="{4F248F28-5A24-4576-837F-EEA3F4B3C377}"/>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21E2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97931">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F97931">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B246A">
    <w:pPr>
      <w:pStyle w:val="7"/>
      <w:tabs>
        <w:tab w:val="center" w:pos="7285"/>
        <w:tab w:val="clear" w:pos="4153"/>
      </w:tabs>
      <w:rPr>
        <w:rFonts w:hint="default"/>
        <w:lang w:val="en-US"/>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9DECE">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F19DECE">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5146040</wp:posOffset>
              </wp:positionH>
              <wp:positionV relativeFrom="paragraph">
                <wp:posOffset>-180340</wp:posOffset>
              </wp:positionV>
              <wp:extent cx="196850" cy="2692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96850" cy="269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2E069">
                          <w:pPr>
                            <w:pStyle w:val="7"/>
                            <w:rPr>
                              <w:rFonts w:hint="eastAsia" w:eastAsiaTheme="minorEastAsia"/>
                              <w:lang w:val="en-US"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5.2pt;margin-top:-14.2pt;height:21.2pt;width:15.5pt;mso-position-horizontal-relative:margin;z-index:251660288;mso-width-relative:page;mso-height-relative:page;" filled="f" stroked="f" coordsize="21600,21600" o:gfxdata="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B7Nx9YAAAAKAQAADwAAAAAAAAABACAAAAAiAAAAZHJzL2Rvd25yZXYu&#10;eG1sUEsBAhQAFAAAAAgAh07iQD3G3Kc2AgAAYQQAAA4AAAAAAAAAAQAgAAAAJQEAAGRycy9lMm9E&#10;b2MueG1sUEsFBgAAAAAGAAYAWQEAAM0FAAAAAA==&#10;">
              <v:fill on="f" focussize="0,0"/>
              <v:stroke on="f" weight="0.5pt"/>
              <v:imagedata o:title=""/>
              <o:lock v:ext="edit" aspectratio="f"/>
              <v:textbox inset="0mm,0mm,0mm,0mm">
                <w:txbxContent>
                  <w:p w14:paraId="7E42E069">
                    <w:pPr>
                      <w:pStyle w:val="7"/>
                      <w:rPr>
                        <w:rFonts w:hint="eastAsia" w:eastAsiaTheme="minorEastAsia"/>
                        <w:lang w:val="en-US" w:eastAsia="zh-CN"/>
                      </w:rPr>
                    </w:pP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D9E6">
    <w:pPr>
      <w:pStyle w:val="8"/>
      <w:pBdr>
        <w:bottom w:val="none" w:color="auto" w:sz="0" w:space="1"/>
      </w:pBdr>
      <w:tabs>
        <w:tab w:val="clear" w:pos="4153"/>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220AA">
    <w:pPr>
      <w:pStyle w:val="8"/>
      <w:pBdr>
        <w:bottom w:val="none" w:color="auto" w:sz="0" w:space="1"/>
      </w:pBdr>
      <w:tabs>
        <w:tab w:val="clear" w:pos="4153"/>
      </w:tabs>
      <w:jc w:val="left"/>
      <w:rPr>
        <w:rFonts w:hint="eastAsia" w:ascii="黑体" w:hAnsi="黑体" w:eastAsia="黑体" w:cs="黑体"/>
        <w:sz w:val="32"/>
        <w:szCs w:val="32"/>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F9310D"/>
    <w:multiLevelType w:val="singleLevel"/>
    <w:tmpl w:val="A4F9310D"/>
    <w:lvl w:ilvl="0" w:tentative="0">
      <w:start w:val="1"/>
      <w:numFmt w:val="decimal"/>
      <w:pStyle w:val="6"/>
      <w:lvlText w:val="%1."/>
      <w:lvlJc w:val="left"/>
      <w:pPr>
        <w:tabs>
          <w:tab w:val="left" w:pos="2040"/>
        </w:tabs>
        <w:ind w:left="2040" w:hanging="360"/>
      </w:pPr>
    </w:lvl>
  </w:abstractNum>
  <w:abstractNum w:abstractNumId="1">
    <w:nsid w:val="EFD7B185"/>
    <w:multiLevelType w:val="singleLevel"/>
    <w:tmpl w:val="EFD7B185"/>
    <w:lvl w:ilvl="0" w:tentative="0">
      <w:start w:val="1"/>
      <w:numFmt w:val="chineseCounting"/>
      <w:suff w:val="space"/>
      <w:lvlText w:val="第%1条"/>
      <w:lvlJc w:val="left"/>
      <w:pPr>
        <w:ind w:left="-10"/>
      </w:pPr>
      <w:rPr>
        <w:rFonts w:hint="eastAsia"/>
      </w:rPr>
    </w:lvl>
  </w:abstractNum>
  <w:abstractNum w:abstractNumId="2">
    <w:nsid w:val="1FC91163"/>
    <w:multiLevelType w:val="multilevel"/>
    <w:tmpl w:val="1FC91163"/>
    <w:lvl w:ilvl="0" w:tentative="0">
      <w:start w:val="1"/>
      <w:numFmt w:val="decimal"/>
      <w:pStyle w:val="20"/>
      <w:suff w:val="nothing"/>
      <w:lvlText w:val="%1　"/>
      <w:lvlJc w:val="left"/>
      <w:pPr>
        <w:ind w:left="0" w:firstLine="0"/>
      </w:pPr>
      <w:rPr>
        <w:rFonts w:hint="eastAsia" w:ascii="黑体" w:hAnsi="Times New Roman" w:eastAsia="黑体"/>
        <w:b w:val="0"/>
        <w:i w:val="0"/>
        <w:sz w:val="32"/>
        <w:szCs w:val="21"/>
      </w:rPr>
    </w:lvl>
    <w:lvl w:ilvl="1" w:tentative="0">
      <w:start w:val="1"/>
      <w:numFmt w:val="decimal"/>
      <w:suff w:val="nothing"/>
      <w:lvlText w:val="%1.%2　"/>
      <w:lvlJc w:val="left"/>
      <w:pPr>
        <w:ind w:left="142" w:firstLine="0"/>
      </w:pPr>
      <w:rPr>
        <w:rFonts w:hint="eastAsia" w:ascii="黑体" w:hAnsi="Times New Roman" w:eastAsia="黑体" w:cs="Times New Roman"/>
        <w:b w:val="0"/>
        <w:bCs w:val="0"/>
        <w:i w:val="0"/>
        <w:iCs w:val="0"/>
        <w:caps w:val="0"/>
        <w:strike w:val="0"/>
        <w:dstrike w:val="0"/>
        <w:vanish w:val="0"/>
        <w:spacing w:val="0"/>
        <w:kern w:val="0"/>
        <w:position w:val="0"/>
        <w:sz w:val="32"/>
        <w:szCs w:val="21"/>
        <w:u w:val="none"/>
        <w:vertAlign w:val="baseline"/>
      </w:rPr>
    </w:lvl>
    <w:lvl w:ilvl="2" w:tentative="0">
      <w:start w:val="1"/>
      <w:numFmt w:val="decimal"/>
      <w:suff w:val="nothing"/>
      <w:lvlText w:val="%1.%2.%3　"/>
      <w:lvlJc w:val="left"/>
      <w:pPr>
        <w:ind w:left="54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kOWRkZTU4ODFmNjM4MGJkMTdlYzVlNmVhNjZjYjcifQ=="/>
  </w:docVars>
  <w:rsids>
    <w:rsidRoot w:val="00E94F55"/>
    <w:rsid w:val="00027B44"/>
    <w:rsid w:val="0008393E"/>
    <w:rsid w:val="0016534E"/>
    <w:rsid w:val="0017064B"/>
    <w:rsid w:val="00192F40"/>
    <w:rsid w:val="00220AAF"/>
    <w:rsid w:val="0022436D"/>
    <w:rsid w:val="00310269"/>
    <w:rsid w:val="003150D4"/>
    <w:rsid w:val="003521BA"/>
    <w:rsid w:val="00371E04"/>
    <w:rsid w:val="0037453F"/>
    <w:rsid w:val="003C4CB5"/>
    <w:rsid w:val="003F217B"/>
    <w:rsid w:val="00467279"/>
    <w:rsid w:val="005B4227"/>
    <w:rsid w:val="005C041D"/>
    <w:rsid w:val="005D7EA5"/>
    <w:rsid w:val="005E7738"/>
    <w:rsid w:val="005F02DF"/>
    <w:rsid w:val="00643B86"/>
    <w:rsid w:val="00717557"/>
    <w:rsid w:val="00736BFA"/>
    <w:rsid w:val="00850415"/>
    <w:rsid w:val="008514CB"/>
    <w:rsid w:val="00883EEF"/>
    <w:rsid w:val="008D3608"/>
    <w:rsid w:val="009A3570"/>
    <w:rsid w:val="00A04650"/>
    <w:rsid w:val="00A102F8"/>
    <w:rsid w:val="00A12F8C"/>
    <w:rsid w:val="00A33DF8"/>
    <w:rsid w:val="00A64801"/>
    <w:rsid w:val="00AE3105"/>
    <w:rsid w:val="00B05E7D"/>
    <w:rsid w:val="00B10F30"/>
    <w:rsid w:val="00B409A7"/>
    <w:rsid w:val="00B56328"/>
    <w:rsid w:val="00B8022B"/>
    <w:rsid w:val="00BA4C83"/>
    <w:rsid w:val="00CB76C6"/>
    <w:rsid w:val="00DC0671"/>
    <w:rsid w:val="00E3170C"/>
    <w:rsid w:val="00E37145"/>
    <w:rsid w:val="00E94F55"/>
    <w:rsid w:val="00ED0A78"/>
    <w:rsid w:val="00EE0B33"/>
    <w:rsid w:val="00F24B65"/>
    <w:rsid w:val="00F522EB"/>
    <w:rsid w:val="00F558DA"/>
    <w:rsid w:val="00F771BE"/>
    <w:rsid w:val="00F86A0A"/>
    <w:rsid w:val="011E3D92"/>
    <w:rsid w:val="019F3249"/>
    <w:rsid w:val="03120307"/>
    <w:rsid w:val="04697FB2"/>
    <w:rsid w:val="0517066E"/>
    <w:rsid w:val="07797585"/>
    <w:rsid w:val="077EA503"/>
    <w:rsid w:val="081212B8"/>
    <w:rsid w:val="093F2AD9"/>
    <w:rsid w:val="09503BA1"/>
    <w:rsid w:val="09840655"/>
    <w:rsid w:val="0BBF5447"/>
    <w:rsid w:val="0C3540DF"/>
    <w:rsid w:val="0F197EF8"/>
    <w:rsid w:val="0F6052AB"/>
    <w:rsid w:val="0FFF606A"/>
    <w:rsid w:val="100C1B2A"/>
    <w:rsid w:val="10351C22"/>
    <w:rsid w:val="11167533"/>
    <w:rsid w:val="121C5584"/>
    <w:rsid w:val="141231B7"/>
    <w:rsid w:val="145C12B1"/>
    <w:rsid w:val="14A22619"/>
    <w:rsid w:val="14CA3BC9"/>
    <w:rsid w:val="1596AC1C"/>
    <w:rsid w:val="15E45039"/>
    <w:rsid w:val="16002399"/>
    <w:rsid w:val="16B210C5"/>
    <w:rsid w:val="17DE1C7C"/>
    <w:rsid w:val="1A633E14"/>
    <w:rsid w:val="1B5C21C2"/>
    <w:rsid w:val="1BDF6A50"/>
    <w:rsid w:val="1C1F672C"/>
    <w:rsid w:val="1DE21710"/>
    <w:rsid w:val="2060704E"/>
    <w:rsid w:val="21124120"/>
    <w:rsid w:val="2124138A"/>
    <w:rsid w:val="21C94157"/>
    <w:rsid w:val="220932F7"/>
    <w:rsid w:val="225418B2"/>
    <w:rsid w:val="22F60C11"/>
    <w:rsid w:val="23076924"/>
    <w:rsid w:val="23FFA114"/>
    <w:rsid w:val="26495D4A"/>
    <w:rsid w:val="2719046A"/>
    <w:rsid w:val="27C46B92"/>
    <w:rsid w:val="27EA0601"/>
    <w:rsid w:val="27FFB153"/>
    <w:rsid w:val="28433C9D"/>
    <w:rsid w:val="2A16744D"/>
    <w:rsid w:val="2B02634F"/>
    <w:rsid w:val="2C850D12"/>
    <w:rsid w:val="2CA7679E"/>
    <w:rsid w:val="2CA87E19"/>
    <w:rsid w:val="2D361E41"/>
    <w:rsid w:val="2D5B3ED9"/>
    <w:rsid w:val="2EE008F0"/>
    <w:rsid w:val="2F8A6864"/>
    <w:rsid w:val="335942F8"/>
    <w:rsid w:val="335E29B7"/>
    <w:rsid w:val="33813B89"/>
    <w:rsid w:val="348835DE"/>
    <w:rsid w:val="34AD35BD"/>
    <w:rsid w:val="350B309C"/>
    <w:rsid w:val="35347525"/>
    <w:rsid w:val="358B375C"/>
    <w:rsid w:val="35BF694B"/>
    <w:rsid w:val="3608233F"/>
    <w:rsid w:val="371631F4"/>
    <w:rsid w:val="37526A16"/>
    <w:rsid w:val="37732382"/>
    <w:rsid w:val="3774C294"/>
    <w:rsid w:val="377CCDE5"/>
    <w:rsid w:val="37885930"/>
    <w:rsid w:val="37DEF639"/>
    <w:rsid w:val="384B3F19"/>
    <w:rsid w:val="38961E1B"/>
    <w:rsid w:val="3A2853C1"/>
    <w:rsid w:val="3AF71AEB"/>
    <w:rsid w:val="3B0D21A6"/>
    <w:rsid w:val="3BFFF9E6"/>
    <w:rsid w:val="3C0B456B"/>
    <w:rsid w:val="3C1B7451"/>
    <w:rsid w:val="3C3D6CC5"/>
    <w:rsid w:val="3CBFBB7E"/>
    <w:rsid w:val="3D667462"/>
    <w:rsid w:val="3D779144"/>
    <w:rsid w:val="3D87623F"/>
    <w:rsid w:val="3DFDE4D6"/>
    <w:rsid w:val="3E636259"/>
    <w:rsid w:val="3E6B7F41"/>
    <w:rsid w:val="3EF960C9"/>
    <w:rsid w:val="3FE65E78"/>
    <w:rsid w:val="3FEB0710"/>
    <w:rsid w:val="41F177A5"/>
    <w:rsid w:val="425C175A"/>
    <w:rsid w:val="4331253D"/>
    <w:rsid w:val="43E334E8"/>
    <w:rsid w:val="4484450B"/>
    <w:rsid w:val="455B66B5"/>
    <w:rsid w:val="45EF6CE9"/>
    <w:rsid w:val="4631128B"/>
    <w:rsid w:val="497A134E"/>
    <w:rsid w:val="49FF191F"/>
    <w:rsid w:val="4AA71E8F"/>
    <w:rsid w:val="4AB5273B"/>
    <w:rsid w:val="4BEA346B"/>
    <w:rsid w:val="4EFF5E04"/>
    <w:rsid w:val="4FEA0961"/>
    <w:rsid w:val="4FEE65F2"/>
    <w:rsid w:val="4FF65811"/>
    <w:rsid w:val="514D504D"/>
    <w:rsid w:val="53D33EEB"/>
    <w:rsid w:val="54273E81"/>
    <w:rsid w:val="548A56B0"/>
    <w:rsid w:val="54EE341F"/>
    <w:rsid w:val="553264C8"/>
    <w:rsid w:val="557E3707"/>
    <w:rsid w:val="557F0605"/>
    <w:rsid w:val="55B45CD9"/>
    <w:rsid w:val="55B538B4"/>
    <w:rsid w:val="55F750C1"/>
    <w:rsid w:val="564F0DE5"/>
    <w:rsid w:val="57447D0E"/>
    <w:rsid w:val="5787634A"/>
    <w:rsid w:val="59275FE6"/>
    <w:rsid w:val="59747B68"/>
    <w:rsid w:val="5A0665BA"/>
    <w:rsid w:val="5A7D4F9F"/>
    <w:rsid w:val="5ADF5F02"/>
    <w:rsid w:val="5AEFA4E1"/>
    <w:rsid w:val="5B4F7815"/>
    <w:rsid w:val="5B65A9D4"/>
    <w:rsid w:val="5B6E0C38"/>
    <w:rsid w:val="5BA5CB7B"/>
    <w:rsid w:val="5BFF1BA9"/>
    <w:rsid w:val="5CFDBEC0"/>
    <w:rsid w:val="5DDF12F8"/>
    <w:rsid w:val="5DE7A5BA"/>
    <w:rsid w:val="5F17EE79"/>
    <w:rsid w:val="5F6D1C25"/>
    <w:rsid w:val="5F9A732E"/>
    <w:rsid w:val="5FBDC604"/>
    <w:rsid w:val="5FEF0E34"/>
    <w:rsid w:val="5FFF77F9"/>
    <w:rsid w:val="60D9452F"/>
    <w:rsid w:val="60F9405C"/>
    <w:rsid w:val="612B573D"/>
    <w:rsid w:val="62542DCC"/>
    <w:rsid w:val="62C16D24"/>
    <w:rsid w:val="62D95719"/>
    <w:rsid w:val="62EF04A4"/>
    <w:rsid w:val="62F94FE6"/>
    <w:rsid w:val="65EF4173"/>
    <w:rsid w:val="66195667"/>
    <w:rsid w:val="669F161E"/>
    <w:rsid w:val="66BB259B"/>
    <w:rsid w:val="67BF52ED"/>
    <w:rsid w:val="68000819"/>
    <w:rsid w:val="69BFACCC"/>
    <w:rsid w:val="6A3C7B0E"/>
    <w:rsid w:val="6AFC50E0"/>
    <w:rsid w:val="6B543836"/>
    <w:rsid w:val="6BAE9474"/>
    <w:rsid w:val="6BB7FBAD"/>
    <w:rsid w:val="6C0C322B"/>
    <w:rsid w:val="6CD27D27"/>
    <w:rsid w:val="6CD91EB8"/>
    <w:rsid w:val="6D043BE5"/>
    <w:rsid w:val="6D6B3F44"/>
    <w:rsid w:val="6E61332B"/>
    <w:rsid w:val="6E790A91"/>
    <w:rsid w:val="6EC14BA8"/>
    <w:rsid w:val="6EDB50DC"/>
    <w:rsid w:val="6EFB03B3"/>
    <w:rsid w:val="6F44791B"/>
    <w:rsid w:val="6FBFED6D"/>
    <w:rsid w:val="6FBFEDC9"/>
    <w:rsid w:val="6FEE5422"/>
    <w:rsid w:val="6FEEFA14"/>
    <w:rsid w:val="709541F4"/>
    <w:rsid w:val="713003C1"/>
    <w:rsid w:val="72664B1B"/>
    <w:rsid w:val="73633D08"/>
    <w:rsid w:val="74BD7B4E"/>
    <w:rsid w:val="75686C1B"/>
    <w:rsid w:val="758F5F51"/>
    <w:rsid w:val="76573696"/>
    <w:rsid w:val="7697A244"/>
    <w:rsid w:val="77E24CD2"/>
    <w:rsid w:val="77E56D22"/>
    <w:rsid w:val="77EF32DB"/>
    <w:rsid w:val="77EF9070"/>
    <w:rsid w:val="77FA6080"/>
    <w:rsid w:val="786B5B2B"/>
    <w:rsid w:val="79E32C86"/>
    <w:rsid w:val="7A57116E"/>
    <w:rsid w:val="7A684AAF"/>
    <w:rsid w:val="7B3F0B1F"/>
    <w:rsid w:val="7B6F16EB"/>
    <w:rsid w:val="7B7C0271"/>
    <w:rsid w:val="7B9A1F32"/>
    <w:rsid w:val="7BBFB17B"/>
    <w:rsid w:val="7BCD518A"/>
    <w:rsid w:val="7BFB26E3"/>
    <w:rsid w:val="7C474DDD"/>
    <w:rsid w:val="7C5A6311"/>
    <w:rsid w:val="7C9B7036"/>
    <w:rsid w:val="7CC6011E"/>
    <w:rsid w:val="7D9C4706"/>
    <w:rsid w:val="7DC42294"/>
    <w:rsid w:val="7DFF80B2"/>
    <w:rsid w:val="7E3A287F"/>
    <w:rsid w:val="7F7E1822"/>
    <w:rsid w:val="7F8724AA"/>
    <w:rsid w:val="7FB361A3"/>
    <w:rsid w:val="7FB438E8"/>
    <w:rsid w:val="7FBE2D3F"/>
    <w:rsid w:val="7FDFBCFE"/>
    <w:rsid w:val="7FF59C95"/>
    <w:rsid w:val="7FFF5B02"/>
    <w:rsid w:val="7FFF6AB9"/>
    <w:rsid w:val="8FDD5537"/>
    <w:rsid w:val="9BDF04A9"/>
    <w:rsid w:val="9E957029"/>
    <w:rsid w:val="9EB7F668"/>
    <w:rsid w:val="9F75EE32"/>
    <w:rsid w:val="9FB745C7"/>
    <w:rsid w:val="A62F6A25"/>
    <w:rsid w:val="A7FFFFC4"/>
    <w:rsid w:val="AFDB4F4B"/>
    <w:rsid w:val="B7005F98"/>
    <w:rsid w:val="B7EF4AC8"/>
    <w:rsid w:val="B9FEA592"/>
    <w:rsid w:val="BB378A39"/>
    <w:rsid w:val="BED3287F"/>
    <w:rsid w:val="BEFD5BA1"/>
    <w:rsid w:val="BF7ED82F"/>
    <w:rsid w:val="BFDF1863"/>
    <w:rsid w:val="BFFDC1D6"/>
    <w:rsid w:val="BFFF1D8E"/>
    <w:rsid w:val="CCFF203F"/>
    <w:rsid w:val="CDFBB613"/>
    <w:rsid w:val="CEFF8A0D"/>
    <w:rsid w:val="CFFFC181"/>
    <w:rsid w:val="D3697D95"/>
    <w:rsid w:val="D37EDCC7"/>
    <w:rsid w:val="D5EFD762"/>
    <w:rsid w:val="D9FE26CE"/>
    <w:rsid w:val="DBFEB46C"/>
    <w:rsid w:val="DCDF354B"/>
    <w:rsid w:val="DCFE0EC9"/>
    <w:rsid w:val="DF7B393C"/>
    <w:rsid w:val="DFDF881F"/>
    <w:rsid w:val="DFF64DD8"/>
    <w:rsid w:val="EB78954D"/>
    <w:rsid w:val="EBFF5037"/>
    <w:rsid w:val="EE7EC7CB"/>
    <w:rsid w:val="EE7F8CE9"/>
    <w:rsid w:val="EEDFA993"/>
    <w:rsid w:val="EFBFEEF0"/>
    <w:rsid w:val="EFDEFBD5"/>
    <w:rsid w:val="EFDF11E9"/>
    <w:rsid w:val="F3F2AD05"/>
    <w:rsid w:val="F5F1F3DB"/>
    <w:rsid w:val="F5FBC1A2"/>
    <w:rsid w:val="F79F3AC7"/>
    <w:rsid w:val="F7EFFB1B"/>
    <w:rsid w:val="F7FFF67E"/>
    <w:rsid w:val="FADF66FC"/>
    <w:rsid w:val="FAFD7DEC"/>
    <w:rsid w:val="FB7CA691"/>
    <w:rsid w:val="FBAFFF89"/>
    <w:rsid w:val="FBBF275F"/>
    <w:rsid w:val="FBD997AA"/>
    <w:rsid w:val="FBF25F58"/>
    <w:rsid w:val="FBFF100E"/>
    <w:rsid w:val="FCD9B7E4"/>
    <w:rsid w:val="FCEF514B"/>
    <w:rsid w:val="FDFB5537"/>
    <w:rsid w:val="FE7F1693"/>
    <w:rsid w:val="FEEDBE48"/>
    <w:rsid w:val="FEF60B1F"/>
    <w:rsid w:val="FEFF6FA3"/>
    <w:rsid w:val="FFA1E043"/>
    <w:rsid w:val="FFBBF566"/>
    <w:rsid w:val="FFF7B47F"/>
    <w:rsid w:val="FFFA727D"/>
    <w:rsid w:val="FFFB0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spacing w:line="600" w:lineRule="exact"/>
      <w:ind w:firstLine="22"/>
      <w:jc w:val="center"/>
      <w:outlineLvl w:val="1"/>
    </w:p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qFormat/>
    <w:uiPriority w:val="0"/>
    <w:pPr>
      <w:spacing w:after="120" w:afterLines="0" w:afterAutospacing="0"/>
    </w:pPr>
  </w:style>
  <w:style w:type="paragraph" w:styleId="5">
    <w:name w:val="Plain Text"/>
    <w:basedOn w:val="1"/>
    <w:next w:val="6"/>
    <w:qFormat/>
    <w:uiPriority w:val="0"/>
    <w:rPr>
      <w:rFonts w:hint="eastAsia" w:ascii="宋体" w:hAnsi="Courier New"/>
      <w:szCs w:val="21"/>
    </w:rPr>
  </w:style>
  <w:style w:type="paragraph" w:styleId="6">
    <w:name w:val="List Number 5"/>
    <w:basedOn w:val="1"/>
    <w:semiHidden/>
    <w:unhideWhenUsed/>
    <w:qFormat/>
    <w:uiPriority w:val="99"/>
    <w:pPr>
      <w:numPr>
        <w:ilvl w:val="0"/>
        <w:numId w:val="1"/>
      </w:numPr>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5">
    <w:name w:val="页眉 Char"/>
    <w:basedOn w:val="12"/>
    <w:link w:val="8"/>
    <w:semiHidden/>
    <w:qFormat/>
    <w:uiPriority w:val="99"/>
    <w:rPr>
      <w:sz w:val="18"/>
      <w:szCs w:val="18"/>
    </w:rPr>
  </w:style>
  <w:style w:type="character" w:customStyle="1" w:styleId="16">
    <w:name w:val="页脚 Char"/>
    <w:basedOn w:val="12"/>
    <w:link w:val="7"/>
    <w:semiHidden/>
    <w:qFormat/>
    <w:uiPriority w:val="99"/>
    <w:rPr>
      <w:sz w:val="18"/>
      <w:szCs w:val="18"/>
    </w:rPr>
  </w:style>
  <w:style w:type="paragraph" w:styleId="17">
    <w:name w:val="List Paragraph"/>
    <w:basedOn w:val="1"/>
    <w:qFormat/>
    <w:uiPriority w:val="34"/>
    <w:pPr>
      <w:ind w:firstLine="420" w:firstLineChars="200"/>
    </w:pPr>
  </w:style>
  <w:style w:type="paragraph" w:customStyle="1" w:styleId="18">
    <w:name w:val="正文文本1"/>
    <w:basedOn w:val="1"/>
    <w:qFormat/>
    <w:uiPriority w:val="0"/>
    <w:pPr>
      <w:spacing w:line="470" w:lineRule="auto"/>
      <w:ind w:firstLine="400"/>
    </w:pPr>
    <w:rPr>
      <w:rFonts w:ascii="宋体" w:hAnsi="宋体" w:eastAsia="宋体" w:cs="宋体"/>
      <w:sz w:val="28"/>
      <w:szCs w:val="28"/>
      <w:lang w:val="zh-CN" w:bidi="zh-CN"/>
    </w:rPr>
  </w:style>
  <w:style w:type="paragraph" w:customStyle="1" w:styleId="1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0">
    <w:name w:val="章标题"/>
    <w:next w:val="19"/>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4430</Words>
  <Characters>4652</Characters>
  <Lines>3</Lines>
  <Paragraphs>1</Paragraphs>
  <TotalTime>0</TotalTime>
  <ScaleCrop>false</ScaleCrop>
  <LinksUpToDate>false</LinksUpToDate>
  <CharactersWithSpaces>5035</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2019-12-01T22:37:00Z</dcterms:created>
  <dc:creator>呼倩</dc:creator>
  <cp:lastModifiedBy>刘刚</cp:lastModifiedBy>
  <cp:lastPrinted>2022-06-14T04:34:00Z</cp:lastPrinted>
  <dcterms:modified xsi:type="dcterms:W3CDTF">2026-07-30T10:37:25Z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0F5FF281DF8A4E39866713B9D549B39E</vt:lpwstr>
  </property>
  <property fmtid="{D5CDD505-2E9C-101B-9397-08002B2CF9AE}" pid="4" name="KSOTemplateDocerSaveRecord">
    <vt:lpwstr>eyJoZGlkIjoiNGFiMWQ1NmQ0MGU4ODg4OGY2NDk2ODg0MDlhZTc0YjQiLCJ1c2VySWQiOiIzMzcyNzYwMDMifQ==</vt:lpwstr>
  </property>
</Properties>
</file>